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C8F4F" w14:textId="77777777" w:rsidR="009E7236" w:rsidRPr="00E12FD2" w:rsidRDefault="00000000">
      <w:pPr>
        <w:jc w:val="center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b/>
          <w:color w:val="1B4F8A"/>
          <w:sz w:val="52"/>
          <w:lang w:val="es-CO"/>
        </w:rPr>
        <w:t>Índice de Caminabilidad</w:t>
      </w:r>
    </w:p>
    <w:p w14:paraId="0C329681" w14:textId="77777777" w:rsidR="009E7236" w:rsidRPr="00E12FD2" w:rsidRDefault="00000000">
      <w:pPr>
        <w:jc w:val="center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444444"/>
          <w:sz w:val="36"/>
          <w:lang w:val="es-CO"/>
        </w:rPr>
        <w:t>Barrio Obrero — Cali</w:t>
      </w:r>
    </w:p>
    <w:p w14:paraId="0BC48D50" w14:textId="77777777" w:rsidR="009E7236" w:rsidRPr="00E12FD2" w:rsidRDefault="00000000">
      <w:pPr>
        <w:jc w:val="center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b/>
          <w:color w:val="2E7D32"/>
          <w:sz w:val="26"/>
          <w:lang w:val="es-CO"/>
        </w:rPr>
        <w:t>Informe de línea base de caminabilidad</w:t>
      </w:r>
    </w:p>
    <w:p w14:paraId="0E6DDD41" w14:textId="77777777" w:rsidR="009E7236" w:rsidRPr="00E12FD2" w:rsidRDefault="00000000">
      <w:pPr>
        <w:jc w:val="center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444444"/>
          <w:lang w:val="es-CO"/>
        </w:rPr>
        <w:t>ITT Cali Inteligente · Equipo de Gobierno de Datos</w:t>
      </w:r>
      <w:r w:rsidRPr="00E12FD2">
        <w:rPr>
          <w:rFonts w:ascii="Arial" w:hAnsi="Arial" w:cs="Arial"/>
          <w:color w:val="444444"/>
          <w:lang w:val="es-CO"/>
        </w:rPr>
        <w:br/>
        <w:t>Fecha: 2026-09-18</w:t>
      </w:r>
    </w:p>
    <w:p w14:paraId="1A65F629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Presentación</w:t>
      </w:r>
    </w:p>
    <w:p w14:paraId="54A13A0A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Este informe resume el estado de la caminabilidad del Barrio Obrero (Cali) a partir de la red peatonal de OpenStreetMap. Nuestro objetivo es ofrecer una línea base clara y fácil de leer, que sirva como punto de partida para evaluar el impacto de futuras intervenciones y para dialogar con distintos equipos del programa. Hemos procurado un lenguaje sencillo, acompañando cada sección con una breve explicación de lo que muestra y de por qué es relevante.</w:t>
      </w:r>
    </w:p>
    <w:p w14:paraId="483C85D9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La unidad de análisis es el polígono único del barrio (37.73 ha). Todo el trabajo geoespacial se realiza en WGS84 (EPSG:4326) y se emplea EPSG:3116 únicamente para los cálculos de área y distancia. Con el fin de mantener el foco en la caminabilidad, se excluye deliberadamente la sección de indicadores complementarios (eventos), que no resulta relevante para este análisis.</w:t>
      </w:r>
    </w:p>
    <w:p w14:paraId="54E7A51B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Metodología en breve</w:t>
      </w:r>
    </w:p>
    <w:p w14:paraId="55B5DD64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La red peatonal se descarga con la librería OSMnx (tipo de red «</w:t>
      </w:r>
      <w:proofErr w:type="spellStart"/>
      <w:r w:rsidRPr="00E12FD2">
        <w:rPr>
          <w:rFonts w:ascii="Arial" w:hAnsi="Arial" w:cs="Arial"/>
          <w:lang w:val="es-CO"/>
        </w:rPr>
        <w:t>walk</w:t>
      </w:r>
      <w:proofErr w:type="spellEnd"/>
      <w:r w:rsidRPr="00E12FD2">
        <w:rPr>
          <w:rFonts w:ascii="Arial" w:hAnsi="Arial" w:cs="Arial"/>
          <w:lang w:val="es-CO"/>
        </w:rPr>
        <w:t>») conservando todos los vértices de cada calle. Sobre ese grafo se calculan las métricas de conectividad: número de intersecciones, longitud total de la red, longitud promedio de los tramos y densidades por unidad de área. Las densidades son especialmente útiles porque permiten comparar zonas de distinto tamaño en igualdad de condiciones.</w:t>
      </w:r>
    </w:p>
    <w:p w14:paraId="3CFB2456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Métricas de línea base</w:t>
      </w:r>
    </w:p>
    <w:p w14:paraId="09ADDD60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La siguiente tabla reúne los valores de referencia del barrio. Son las cifras que usaremos como punto de comparación en mediciones posteriores.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E7236" w:rsidRPr="00E12FD2" w14:paraId="3F1D1A57" w14:textId="77777777" w:rsidTr="009E7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124F17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Indicador</w:t>
            </w:r>
          </w:p>
        </w:tc>
        <w:tc>
          <w:tcPr>
            <w:tcW w:w="4320" w:type="dxa"/>
          </w:tcPr>
          <w:p w14:paraId="4F710D6E" w14:textId="77777777" w:rsidR="009E7236" w:rsidRPr="00E12F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Valor</w:t>
            </w:r>
          </w:p>
        </w:tc>
      </w:tr>
      <w:tr w:rsidR="009E7236" w:rsidRPr="00E12FD2" w14:paraId="102DECD5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884C3A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Área del polígono</w:t>
            </w:r>
          </w:p>
        </w:tc>
        <w:tc>
          <w:tcPr>
            <w:tcW w:w="4320" w:type="dxa"/>
          </w:tcPr>
          <w:p w14:paraId="39E137FE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37.73 ha (377,329 m²)</w:t>
            </w:r>
          </w:p>
        </w:tc>
      </w:tr>
      <w:tr w:rsidR="009E7236" w:rsidRPr="00E12FD2" w14:paraId="08ACA20E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E36DE3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Intersecciones peatonales</w:t>
            </w:r>
          </w:p>
        </w:tc>
        <w:tc>
          <w:tcPr>
            <w:tcW w:w="4320" w:type="dxa"/>
          </w:tcPr>
          <w:p w14:paraId="4BFB7462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233</w:t>
            </w:r>
          </w:p>
        </w:tc>
      </w:tr>
      <w:tr w:rsidR="009E7236" w:rsidRPr="00E12FD2" w14:paraId="33E047FD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D1AD61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Longitud de red peatonal</w:t>
            </w:r>
          </w:p>
        </w:tc>
        <w:tc>
          <w:tcPr>
            <w:tcW w:w="4320" w:type="dxa"/>
          </w:tcPr>
          <w:p w14:paraId="43F54837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26.93 km</w:t>
            </w:r>
          </w:p>
        </w:tc>
      </w:tr>
      <w:tr w:rsidR="009E7236" w:rsidRPr="00E12FD2" w14:paraId="64FEB0CD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367EDD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Longitud promedio de segmento</w:t>
            </w:r>
          </w:p>
        </w:tc>
        <w:tc>
          <w:tcPr>
            <w:tcW w:w="4320" w:type="dxa"/>
          </w:tcPr>
          <w:p w14:paraId="4BADC8D7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41.6 m</w:t>
            </w:r>
          </w:p>
        </w:tc>
      </w:tr>
      <w:tr w:rsidR="009E7236" w:rsidRPr="00E12FD2" w14:paraId="5883B497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D19A5E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Densidad de calle</w:t>
            </w:r>
          </w:p>
        </w:tc>
        <w:tc>
          <w:tcPr>
            <w:tcW w:w="4320" w:type="dxa"/>
          </w:tcPr>
          <w:p w14:paraId="191BBF39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71.38 km/km²</w:t>
            </w:r>
          </w:p>
        </w:tc>
      </w:tr>
      <w:tr w:rsidR="009E7236" w:rsidRPr="00E12FD2" w14:paraId="4A9E3E09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B3D840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Densidad de intersecciones</w:t>
            </w:r>
          </w:p>
        </w:tc>
        <w:tc>
          <w:tcPr>
            <w:tcW w:w="4320" w:type="dxa"/>
          </w:tcPr>
          <w:p w14:paraId="417BEF75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617 int/km²</w:t>
            </w:r>
          </w:p>
        </w:tc>
      </w:tr>
      <w:tr w:rsidR="009E7236" w:rsidRPr="00E12FD2" w14:paraId="7B0D5DD6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BEB3A4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lastRenderedPageBreak/>
              <w:t>Nodos OSM</w:t>
            </w:r>
          </w:p>
        </w:tc>
        <w:tc>
          <w:tcPr>
            <w:tcW w:w="4320" w:type="dxa"/>
          </w:tcPr>
          <w:p w14:paraId="35FE6249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233</w:t>
            </w:r>
          </w:p>
        </w:tc>
      </w:tr>
      <w:tr w:rsidR="009E7236" w:rsidRPr="00E12FD2" w14:paraId="1CBFAFA1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D5DA58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Segmentos OSM</w:t>
            </w:r>
          </w:p>
        </w:tc>
        <w:tc>
          <w:tcPr>
            <w:tcW w:w="4320" w:type="dxa"/>
          </w:tcPr>
          <w:p w14:paraId="092648B3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648</w:t>
            </w:r>
          </w:p>
        </w:tc>
      </w:tr>
    </w:tbl>
    <w:p w14:paraId="00C17A99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Contexto territorial: comparación con la Comuna 9</w:t>
      </w:r>
    </w:p>
    <w:p w14:paraId="19890186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Para entender mejor el barrio, lo comparamos con la Comuna 9, que lo contiene. Recomendamos leer sobre todo las densidades, ya que las cifras absolutas (intersecciones y longitud total) favorecen a la comuna simplemente por su mayor extensión.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E7236" w:rsidRPr="00E12FD2" w14:paraId="02C73372" w14:textId="77777777" w:rsidTr="009E7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0C1F2A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Métrica</w:t>
            </w:r>
          </w:p>
        </w:tc>
        <w:tc>
          <w:tcPr>
            <w:tcW w:w="2880" w:type="dxa"/>
          </w:tcPr>
          <w:p w14:paraId="4414570D" w14:textId="77777777" w:rsidR="009E7236" w:rsidRPr="00E12F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Barrio Obrero</w:t>
            </w:r>
          </w:p>
        </w:tc>
        <w:tc>
          <w:tcPr>
            <w:tcW w:w="2880" w:type="dxa"/>
          </w:tcPr>
          <w:p w14:paraId="5B5C6623" w14:textId="77777777" w:rsidR="009E7236" w:rsidRPr="00E12F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Comuna 9</w:t>
            </w:r>
          </w:p>
        </w:tc>
      </w:tr>
      <w:tr w:rsidR="009E7236" w:rsidRPr="00E12FD2" w14:paraId="65B11664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0D5104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Área (ha)</w:t>
            </w:r>
          </w:p>
        </w:tc>
        <w:tc>
          <w:tcPr>
            <w:tcW w:w="2880" w:type="dxa"/>
          </w:tcPr>
          <w:p w14:paraId="2CE9CD90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37.73</w:t>
            </w:r>
          </w:p>
        </w:tc>
        <w:tc>
          <w:tcPr>
            <w:tcW w:w="2880" w:type="dxa"/>
          </w:tcPr>
          <w:p w14:paraId="207FE641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290.38</w:t>
            </w:r>
          </w:p>
        </w:tc>
      </w:tr>
      <w:tr w:rsidR="009E7236" w:rsidRPr="00E12FD2" w14:paraId="003C753D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B4DECE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Intersecciones</w:t>
            </w:r>
          </w:p>
        </w:tc>
        <w:tc>
          <w:tcPr>
            <w:tcW w:w="2880" w:type="dxa"/>
          </w:tcPr>
          <w:p w14:paraId="16D474EE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233</w:t>
            </w:r>
          </w:p>
        </w:tc>
        <w:tc>
          <w:tcPr>
            <w:tcW w:w="2880" w:type="dxa"/>
          </w:tcPr>
          <w:p w14:paraId="6F969E1B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2.255</w:t>
            </w:r>
          </w:p>
        </w:tc>
      </w:tr>
      <w:tr w:rsidR="009E7236" w:rsidRPr="00E12FD2" w14:paraId="53314C97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6A495A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Longitud de red (km)</w:t>
            </w:r>
          </w:p>
        </w:tc>
        <w:tc>
          <w:tcPr>
            <w:tcW w:w="2880" w:type="dxa"/>
          </w:tcPr>
          <w:p w14:paraId="4A8CD145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26.93</w:t>
            </w:r>
          </w:p>
        </w:tc>
        <w:tc>
          <w:tcPr>
            <w:tcW w:w="2880" w:type="dxa"/>
          </w:tcPr>
          <w:p w14:paraId="1745288C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227.52</w:t>
            </w:r>
          </w:p>
        </w:tc>
      </w:tr>
      <w:tr w:rsidR="009E7236" w:rsidRPr="00E12FD2" w14:paraId="0EB82181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540C82" w14:textId="77777777" w:rsidR="009E7236" w:rsidRPr="00E12FD2" w:rsidRDefault="00000000">
            <w:pPr>
              <w:rPr>
                <w:rFonts w:ascii="Arial" w:hAnsi="Arial" w:cs="Arial"/>
                <w:lang w:val="es-CO"/>
              </w:rPr>
            </w:pPr>
            <w:r w:rsidRPr="00E12FD2">
              <w:rPr>
                <w:rFonts w:ascii="Arial" w:hAnsi="Arial" w:cs="Arial"/>
                <w:lang w:val="es-CO"/>
              </w:rPr>
              <w:t>Longitud prom. de segmento (m)</w:t>
            </w:r>
          </w:p>
        </w:tc>
        <w:tc>
          <w:tcPr>
            <w:tcW w:w="2880" w:type="dxa"/>
          </w:tcPr>
          <w:p w14:paraId="24708DED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41.6</w:t>
            </w:r>
          </w:p>
        </w:tc>
        <w:tc>
          <w:tcPr>
            <w:tcW w:w="2880" w:type="dxa"/>
          </w:tcPr>
          <w:p w14:paraId="0D018781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34.8</w:t>
            </w:r>
          </w:p>
        </w:tc>
      </w:tr>
      <w:tr w:rsidR="009E7236" w:rsidRPr="00E12FD2" w14:paraId="57831A77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A09D6" w14:textId="77777777" w:rsidR="009E7236" w:rsidRPr="00E12FD2" w:rsidRDefault="00000000">
            <w:pPr>
              <w:rPr>
                <w:rFonts w:ascii="Arial" w:hAnsi="Arial" w:cs="Arial"/>
                <w:lang w:val="es-CO"/>
              </w:rPr>
            </w:pPr>
            <w:r w:rsidRPr="00E12FD2">
              <w:rPr>
                <w:rFonts w:ascii="Arial" w:hAnsi="Arial" w:cs="Arial"/>
                <w:lang w:val="es-CO"/>
              </w:rPr>
              <w:t>Densidad de calle (km/km²)</w:t>
            </w:r>
          </w:p>
        </w:tc>
        <w:tc>
          <w:tcPr>
            <w:tcW w:w="2880" w:type="dxa"/>
          </w:tcPr>
          <w:p w14:paraId="55882484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71.38</w:t>
            </w:r>
          </w:p>
        </w:tc>
        <w:tc>
          <w:tcPr>
            <w:tcW w:w="2880" w:type="dxa"/>
          </w:tcPr>
          <w:p w14:paraId="62EDCA9F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78.35</w:t>
            </w:r>
          </w:p>
        </w:tc>
      </w:tr>
      <w:tr w:rsidR="009E7236" w:rsidRPr="00E12FD2" w14:paraId="3EF4FDEE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9B25DD" w14:textId="77777777" w:rsidR="009E7236" w:rsidRPr="00E12FD2" w:rsidRDefault="00000000">
            <w:pPr>
              <w:rPr>
                <w:rFonts w:ascii="Arial" w:hAnsi="Arial" w:cs="Arial"/>
                <w:lang w:val="es-CO"/>
              </w:rPr>
            </w:pPr>
            <w:r w:rsidRPr="00E12FD2">
              <w:rPr>
                <w:rFonts w:ascii="Arial" w:hAnsi="Arial" w:cs="Arial"/>
                <w:sz w:val="18"/>
                <w:szCs w:val="18"/>
                <w:lang w:val="es-CO"/>
              </w:rPr>
              <w:t>Densidad de intersecciones (</w:t>
            </w:r>
            <w:proofErr w:type="spellStart"/>
            <w:r w:rsidRPr="00E12FD2">
              <w:rPr>
                <w:rFonts w:ascii="Arial" w:hAnsi="Arial" w:cs="Arial"/>
                <w:sz w:val="18"/>
                <w:szCs w:val="18"/>
                <w:lang w:val="es-CO"/>
              </w:rPr>
              <w:t>int</w:t>
            </w:r>
            <w:proofErr w:type="spellEnd"/>
            <w:r w:rsidRPr="00E12FD2">
              <w:rPr>
                <w:rFonts w:ascii="Arial" w:hAnsi="Arial" w:cs="Arial"/>
                <w:sz w:val="18"/>
                <w:szCs w:val="18"/>
                <w:lang w:val="es-CO"/>
              </w:rPr>
              <w:t>/km²)</w:t>
            </w:r>
          </w:p>
        </w:tc>
        <w:tc>
          <w:tcPr>
            <w:tcW w:w="2880" w:type="dxa"/>
          </w:tcPr>
          <w:p w14:paraId="6A0878EF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617</w:t>
            </w:r>
          </w:p>
        </w:tc>
        <w:tc>
          <w:tcPr>
            <w:tcW w:w="2880" w:type="dxa"/>
          </w:tcPr>
          <w:p w14:paraId="62144702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777</w:t>
            </w:r>
          </w:p>
        </w:tc>
      </w:tr>
    </w:tbl>
    <w:p w14:paraId="57BE6402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En síntesis, el Barrio Obrero presenta una densidad de intersecciones de 617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 xml:space="preserve">/km² y una densidad de calle de 71.38 km/km², valores propios de una trama urbana consolidada y caminable, muy por encima del umbral de salud pública (~100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 xml:space="preserve">/km²). La Comuna 9 es algo más densa (777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>/km²) y con tramos más cortos, lo que ubica al barrio como una zona bien conectada dentro de un contexto comunal favorable para caminar.</w:t>
      </w:r>
    </w:p>
    <w:p w14:paraId="3E0F84AE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Resultados gráficos</w:t>
      </w:r>
    </w:p>
    <w:p w14:paraId="7461ECE3" w14:textId="02140919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A </w:t>
      </w:r>
      <w:r w:rsidR="000E40AA" w:rsidRPr="00E12FD2">
        <w:rPr>
          <w:rFonts w:ascii="Arial" w:hAnsi="Arial" w:cs="Arial"/>
          <w:lang w:val="es-CO"/>
        </w:rPr>
        <w:t>continuación,</w:t>
      </w:r>
      <w:r w:rsidRPr="00E12FD2">
        <w:rPr>
          <w:rFonts w:ascii="Arial" w:hAnsi="Arial" w:cs="Arial"/>
          <w:lang w:val="es-CO"/>
        </w:rPr>
        <w:t xml:space="preserve"> se presentan los gráficos de la línea base. Cada uno incluye una breve nota que explica qué observar y por qué es importante.</w:t>
      </w:r>
    </w:p>
    <w:p w14:paraId="6BC9ACF5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Red peatonal — línea base</w:t>
      </w:r>
    </w:p>
    <w:p w14:paraId="32FD33CF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Este mapa muestra la red peatonal del barrio tal como se descarga de OpenStreetMap. Cada línea es un tramo caminable y cada punto una intersección. Nos sirve como «fotografía» inicial de cómo está conectado el barrio para quien se desplaza a pie, y es la base sobre la que se calculan todas las métricas de este informe.</w:t>
      </w:r>
    </w:p>
    <w:p w14:paraId="36B948F8" w14:textId="1675BAB1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lastRenderedPageBreak/>
        <w:drawing>
          <wp:inline distT="0" distB="0" distL="0" distR="0" wp14:anchorId="6E1A9546" wp14:editId="581D0961">
            <wp:extent cx="900915" cy="1676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1_red_peatonal_barrio_obrer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06124" cy="1686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E02" w:rsidRPr="00E12FD2">
        <w:rPr>
          <w:rFonts w:ascii="Arial" w:hAnsi="Arial" w:cs="Arial"/>
          <w:noProof/>
        </w:rPr>
        <w:t xml:space="preserve"> </w:t>
      </w:r>
    </w:p>
    <w:p w14:paraId="7D31117B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Densidad de intersecciones y malla vial</w:t>
      </w:r>
    </w:p>
    <w:p w14:paraId="5E788F26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Aquí presentamos un mapa de calor que resalta las zonas con mayor concentración de intersecciones. A la izquierda se ve sobre el contorno del barrio y a la derecha con los ejes viales oficiales (IDESC) de fondo. Las áreas más cálidas indican mallas más densas y, por tanto, más opciones de recorrido para el peatón.</w:t>
      </w:r>
    </w:p>
    <w:p w14:paraId="52187B32" w14:textId="3D11630D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289529B9" wp14:editId="7D6E5A4C">
            <wp:extent cx="5669280" cy="34835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2_heatmap_intersecciones_barrio_obrer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CD27" w14:textId="48F82C6E" w:rsidR="00E6799E" w:rsidRPr="00E12FD2" w:rsidRDefault="00E6799E">
      <w:pPr>
        <w:jc w:val="center"/>
        <w:rPr>
          <w:rFonts w:ascii="Arial" w:hAnsi="Arial" w:cs="Arial"/>
        </w:rPr>
      </w:pPr>
    </w:p>
    <w:p w14:paraId="73CD5AF0" w14:textId="2826A75E" w:rsidR="00E6799E" w:rsidRPr="00E12FD2" w:rsidRDefault="00E6799E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</w:rPr>
        <w:lastRenderedPageBreak/>
        <w:drawing>
          <wp:inline distT="0" distB="0" distL="0" distR="0" wp14:anchorId="6DEF967D" wp14:editId="12A97841">
            <wp:extent cx="3498850" cy="4192316"/>
            <wp:effectExtent l="0" t="0" r="635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1450" cy="4195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1791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Distribución de la longitud de segmentos</w:t>
      </w:r>
    </w:p>
    <w:p w14:paraId="4603C674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Este histograma resume qué tan largos son los tramos de calle del barrio. En general, los tramos cortos favorecen la caminabilidad porque ofrecen más cruces y rutas alternativas. La media y la mediana marcadas ayudan a ubicar el «tramo típico» de la zona.</w:t>
      </w:r>
    </w:p>
    <w:p w14:paraId="19E13380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0D8B0961" wp14:editId="03C27A1E">
            <wp:extent cx="3651250" cy="2171912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3_histograma_segmentos_barrio_obr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60279" cy="217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1636E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lastRenderedPageBreak/>
        <w:t>Dispersión de la longitud de segmentos</w:t>
      </w:r>
    </w:p>
    <w:p w14:paraId="51D05A10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El diagrama de caja complementa al histograma: muestra la mediana, el rango habitual y los tramos atípicos (muy largos o muy cortos). Es útil para detectar irregularidades en la trama urbana que podrían afectar la experiencia de caminar.</w:t>
      </w:r>
    </w:p>
    <w:p w14:paraId="411BEF41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7BAD7334" wp14:editId="482990E5">
            <wp:extent cx="5669280" cy="42312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4_boxplot_segmentos_barrio_obr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31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6697A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Posición morfológica — Barrio Obrero vs Comuna 9</w:t>
      </w:r>
    </w:p>
    <w:p w14:paraId="5BF9577E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Este gráfico ubica al barrio según dos rasgos clave: la longitud promedio de segmento y la densidad de intersecciones, y lo compara con la Comuna 9. Las bandas de color señalan rangos de referencia de la literatura: la franja verde (400–700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 xml:space="preserve">/km²) corresponde a tramas urbanas caminables y la línea roja (~100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>/km²) es el umbral asociado a beneficios de salud pública.</w:t>
      </w:r>
    </w:p>
    <w:p w14:paraId="079E6561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lastRenderedPageBreak/>
        <w:drawing>
          <wp:inline distT="0" distB="0" distL="0" distR="0" wp14:anchorId="7DA87688" wp14:editId="6A00E45D">
            <wp:extent cx="4394200" cy="3053936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5_scatter_conectividad_barrio_obr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9187" cy="305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3DD3A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Tabla resumen de métricas urbanas</w:t>
      </w:r>
    </w:p>
    <w:p w14:paraId="436AF39B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Esta tabla reúne, en un solo vistazo, los indicadores más importantes de caminabilidad del barrio. Sirve como ficha técnica de la línea base y facilita el seguimiento en mediciones futuras.</w:t>
      </w:r>
    </w:p>
    <w:p w14:paraId="79104C9C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7C693CDD" wp14:editId="6C50D654">
            <wp:extent cx="5669280" cy="275976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6_tabla_metricas_barrio_obre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7EB92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Panel de métricas de caminabilidad</w:t>
      </w:r>
    </w:p>
    <w:p w14:paraId="24F4ECEC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El panel presenta las cinco métricas de caminabilidad del barrio en formato de barras, pensado para una lectura rápida y para acompañar presentaciones o resúmenes ejecutivos.</w:t>
      </w:r>
    </w:p>
    <w:p w14:paraId="6331EC01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lastRenderedPageBreak/>
        <w:drawing>
          <wp:inline distT="0" distB="0" distL="0" distR="0" wp14:anchorId="743B5205" wp14:editId="22C66D40">
            <wp:extent cx="5669280" cy="16279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metricas_caminabilidad_barrio_obrer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2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7D8A4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Comparación Barrio Obrero vs Comuna 9</w:t>
      </w:r>
    </w:p>
    <w:p w14:paraId="327EC786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Finalmente, comparamos el barrio con la Comuna 9 que lo contiene. Conviene mirar sobre todo las densidades (km/km² e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>/km²), que son comparables entre zonas de distinto tamaño; las cifras absolutas favorecen a la comuna simplemente por su mayor superficie.</w:t>
      </w:r>
    </w:p>
    <w:p w14:paraId="44B91F25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3159E53A" wp14:editId="60BBA5A7">
            <wp:extent cx="5669280" cy="163110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comparacion_barrio_obrero_vs_comuna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3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CA284" w14:textId="77777777" w:rsidR="009E7236" w:rsidRPr="00E12FD2" w:rsidRDefault="00000000">
      <w:pPr>
        <w:pStyle w:val="Ttulo1"/>
        <w:rPr>
          <w:rFonts w:ascii="Arial" w:hAnsi="Arial" w:cs="Arial"/>
        </w:rPr>
      </w:pPr>
      <w:r w:rsidRPr="00E12FD2">
        <w:rPr>
          <w:rFonts w:ascii="Arial" w:hAnsi="Arial" w:cs="Arial"/>
          <w:color w:val="1B4F8A"/>
        </w:rPr>
        <w:t>Referencias de contexto</w:t>
      </w:r>
    </w:p>
    <w:p w14:paraId="6D234DC9" w14:textId="77777777" w:rsidR="009E7236" w:rsidRPr="00E12FD2" w:rsidRDefault="00000000" w:rsidP="00E12FD2">
      <w:pPr>
        <w:pStyle w:val="Listaconvietas"/>
        <w:jc w:val="both"/>
        <w:rPr>
          <w:rFonts w:ascii="Arial" w:hAnsi="Arial" w:cs="Arial"/>
        </w:rPr>
      </w:pPr>
      <w:r w:rsidRPr="00E12FD2">
        <w:rPr>
          <w:rFonts w:ascii="Arial" w:hAnsi="Arial" w:cs="Arial"/>
        </w:rPr>
        <w:t>US EPA — Estimated Intersection Density of Walkable Roads (EnviroAtlas).</w:t>
      </w:r>
    </w:p>
    <w:p w14:paraId="7E6BFBD2" w14:textId="77777777" w:rsidR="009E7236" w:rsidRPr="00E12FD2" w:rsidRDefault="00000000" w:rsidP="00E12FD2">
      <w:pPr>
        <w:pStyle w:val="Listaconvietas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IPEN </w:t>
      </w:r>
      <w:proofErr w:type="spellStart"/>
      <w:r w:rsidRPr="00E12FD2">
        <w:rPr>
          <w:rFonts w:ascii="Arial" w:hAnsi="Arial" w:cs="Arial"/>
          <w:lang w:val="es-CO"/>
        </w:rPr>
        <w:t>Adult</w:t>
      </w:r>
      <w:proofErr w:type="spellEnd"/>
      <w:r w:rsidRPr="00E12FD2">
        <w:rPr>
          <w:rFonts w:ascii="Arial" w:hAnsi="Arial" w:cs="Arial"/>
          <w:lang w:val="es-CO"/>
        </w:rPr>
        <w:t xml:space="preserve"> </w:t>
      </w:r>
      <w:proofErr w:type="spellStart"/>
      <w:r w:rsidRPr="00E12FD2">
        <w:rPr>
          <w:rFonts w:ascii="Arial" w:hAnsi="Arial" w:cs="Arial"/>
          <w:lang w:val="es-CO"/>
        </w:rPr>
        <w:t>study</w:t>
      </w:r>
      <w:proofErr w:type="spellEnd"/>
      <w:r w:rsidRPr="00E12FD2">
        <w:rPr>
          <w:rFonts w:ascii="Arial" w:hAnsi="Arial" w:cs="Arial"/>
          <w:lang w:val="es-CO"/>
        </w:rPr>
        <w:t xml:space="preserve"> / Universidad de Melbourne — umbral de ~100 intersecciones/km² asociado a mayor actividad física.</w:t>
      </w:r>
    </w:p>
    <w:p w14:paraId="0FA8A566" w14:textId="77777777" w:rsidR="009E7236" w:rsidRPr="00E12FD2" w:rsidRDefault="00000000" w:rsidP="00E12FD2">
      <w:pPr>
        <w:pStyle w:val="Listaconvietas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Gobierno de Queensland — regulación de barrios caminables (cuadras ≤ 250 m).</w:t>
      </w:r>
    </w:p>
    <w:p w14:paraId="53DDE224" w14:textId="77777777" w:rsidR="009E7236" w:rsidRPr="00E12FD2" w:rsidRDefault="00000000" w:rsidP="00E12FD2">
      <w:pPr>
        <w:pStyle w:val="Listaconvietas"/>
        <w:jc w:val="both"/>
        <w:rPr>
          <w:rFonts w:ascii="Arial" w:hAnsi="Arial" w:cs="Arial"/>
        </w:rPr>
      </w:pPr>
      <w:proofErr w:type="spellStart"/>
      <w:r w:rsidRPr="00E12FD2">
        <w:rPr>
          <w:rFonts w:ascii="Arial" w:hAnsi="Arial" w:cs="Arial"/>
        </w:rPr>
        <w:t>Stangl</w:t>
      </w:r>
      <w:proofErr w:type="spellEnd"/>
      <w:r w:rsidRPr="00E12FD2">
        <w:rPr>
          <w:rFonts w:ascii="Arial" w:hAnsi="Arial" w:cs="Arial"/>
        </w:rPr>
        <w:t>, P. (2015) — Block size-based measures of street connectivity, Urban Design International.</w:t>
      </w:r>
    </w:p>
    <w:p w14:paraId="02395FBD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444444"/>
          <w:sz w:val="19"/>
          <w:lang w:val="es-CO"/>
        </w:rPr>
        <w:t>Nota: los umbrales provienen mayormente de literatura anglosajona (EE. UU. y Australia). No existe un estándar nacional colombiano de densidad de intersecciones ampliamente adoptado, por lo que aquí se usan como referencia comparativa, con la Comuna 9 aportando el contraste local. Contenido reformulado para cumplir con las restricciones de licencia de las fuentes.</w:t>
      </w:r>
    </w:p>
    <w:p>
      <w:pPr>
        <w:spacing w:before="240" w:after="120"/>
      </w:pPr>
      <w:r>
        <w:rPr>
          <w:rFonts w:ascii="Arial" w:hAnsi="Arial"/>
          <w:b/>
          <w:color w:val="1B4F8A"/>
          <w:sz w:val="28"/>
        </w:rPr>
        <w:t>Índice de Caminabilidad (0–100)</w:t>
      </w:r>
    </w:p>
    <w:p>
      <w:pPr>
        <w:spacing w:after="160"/>
        <w:jc w:val="both"/>
      </w:pPr>
      <w:r>
        <w:rPr>
          <w:rFonts w:ascii="Arial" w:hAnsi="Arial"/>
          <w:b w:val="0"/>
          <w:sz w:val="22"/>
        </w:rPr>
        <w:t>Para resumir la caminabilidad en una sola cifra, construimos un índice de 0 a 100 que combina tres indicadores de la red peatonal. La normalización usa referencias fijas por indicador (no valores relativos entre zonas), de modo que el resultado sea estable y comparable a lo largo del tiempo. Cada indicador se lleva a una escala de 0 a 100 y luego se pondera; la longitud de segmento se trata como indicador inverso, ya que las cuadras más cortas favorecen la caminabilidad.</w:t>
      </w:r>
    </w:p>
    <w:p>
      <w:pPr>
        <w:spacing w:after="160"/>
        <w:jc w:val="both"/>
      </w:pPr>
      <w:r>
        <w:rPr>
          <w:rFonts w:ascii="Arial" w:hAnsi="Arial"/>
          <w:b w:val="0"/>
          <w:sz w:val="22"/>
        </w:rPr>
        <w:t>Los pesos por defecto son: densidad de intersecciones 0.45, densidad de calle 0.35 y longitud de segmento 0.20. Tanto los umbrales como los pesos pueden ajustarse según el criterio del equipo. La siguiente tabla resume las referencias empleadas y los puntajes obtenidos por cada zona.</w:t>
      </w:r>
    </w:p>
    <w:tbl>
      <w:tblPr>
        <w:tblStyle w:val="Cuadrculaclara-nfasis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Indicador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ref_min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ref_max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Sentido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Score BO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Score C9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Densidad de intersecciones (int/km²)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100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800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directo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73.9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96.7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Densidad de calle (km/km²)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directo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73.4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83.4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Longitud prom. de segmento (m)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inverso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98.6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8"/>
              </w:rPr>
              <w:t>100.0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Índice de Caminabilidad (0–100)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78.7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92.7</w:t>
            </w:r>
          </w:p>
        </w:tc>
      </w:tr>
    </w:tbl>
    <w:p>
      <w:pPr>
        <w:spacing w:after="160"/>
        <w:jc w:val="both"/>
      </w:pPr>
      <w:r>
        <w:rPr>
          <w:rFonts w:ascii="Arial" w:hAnsi="Arial"/>
          <w:b w:val="0"/>
          <w:sz w:val="22"/>
        </w:rPr>
        <w:t>En la línea base, el Barrio Obrero obtiene un índice de 78.7 y la Comuna 9 de 92.7. Ambos valores son altos y reflejan tramas urbanas caminables. La ventaja de la Comuna 9 proviene sobre todo de su mayor densidad de intersecciones. Conviene recordar que el índice es una síntesis: su lectura debe acompañarse de los indicadores individuales y del contexto de cada zona.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999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indice_caminabilidad_barrio_obre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99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rFonts w:ascii="Arial" w:hAnsi="Arial"/>
          <w:b w:val="0"/>
          <w:color w:val="444444"/>
          <w:sz w:val="19"/>
        </w:rPr>
        <w:t>Nota metodológica: los umbrales de referencia se basan en literatura de caminabilidad (US EPA EnviroAtlas; IPEN / U. de Melbourne; regulación de Queensland; Stangl, 2015) y se usan como marco comparativo. El índice es ajustable y está pensado para evolucionar a medida que se incorporen nuevos indicadores o datos locales.</w:t>
      </w:r>
    </w:p>
    <w:sectPr w:rsidR="009E7236" w:rsidRPr="00E12FD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7006925">
    <w:abstractNumId w:val="8"/>
  </w:num>
  <w:num w:numId="2" w16cid:durableId="586498431">
    <w:abstractNumId w:val="6"/>
  </w:num>
  <w:num w:numId="3" w16cid:durableId="146241204">
    <w:abstractNumId w:val="5"/>
  </w:num>
  <w:num w:numId="4" w16cid:durableId="567879902">
    <w:abstractNumId w:val="4"/>
  </w:num>
  <w:num w:numId="5" w16cid:durableId="386219690">
    <w:abstractNumId w:val="7"/>
  </w:num>
  <w:num w:numId="6" w16cid:durableId="874929298">
    <w:abstractNumId w:val="3"/>
  </w:num>
  <w:num w:numId="7" w16cid:durableId="2144229349">
    <w:abstractNumId w:val="2"/>
  </w:num>
  <w:num w:numId="8" w16cid:durableId="510611111">
    <w:abstractNumId w:val="1"/>
  </w:num>
  <w:num w:numId="9" w16cid:durableId="312299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0AA"/>
    <w:rsid w:val="0015074B"/>
    <w:rsid w:val="0029639D"/>
    <w:rsid w:val="00326F90"/>
    <w:rsid w:val="009D1EB8"/>
    <w:rsid w:val="009E7236"/>
    <w:rsid w:val="009F0275"/>
    <w:rsid w:val="00A95E02"/>
    <w:rsid w:val="00AA1D8D"/>
    <w:rsid w:val="00B47730"/>
    <w:rsid w:val="00CB0664"/>
    <w:rsid w:val="00DD2BF0"/>
    <w:rsid w:val="00E12FD2"/>
    <w:rsid w:val="00E679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1C424A"/>
  <w14:defaultImageDpi w14:val="300"/>
  <w15:docId w15:val="{80A65743-D7F2-4A4C-ABEB-A173CBAFD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17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952</Words>
  <Characters>5237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Jorge Castaño lopez</cp:lastModifiedBy>
  <cp:revision>8</cp:revision>
  <dcterms:created xsi:type="dcterms:W3CDTF">2013-12-23T23:15:00Z</dcterms:created>
  <dcterms:modified xsi:type="dcterms:W3CDTF">2026-09-18T20:20:00Z</dcterms:modified>
  <cp:category/>
</cp:coreProperties>
</file>