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C8F4F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1B4F8A"/>
          <w:sz w:val="52"/>
          <w:lang w:val="es-CO"/>
        </w:rPr>
        <w:t>Índice de Caminabilidad</w:t>
      </w:r>
    </w:p>
    <w:p w14:paraId="0C32968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36"/>
          <w:lang w:val="es-CO"/>
        </w:rPr>
        <w:t>Barrio Obrero — Cali</w:t>
      </w:r>
    </w:p>
    <w:p w14:paraId="0BC48D50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2E7D32"/>
          <w:sz w:val="26"/>
          <w:lang w:val="es-CO"/>
        </w:rPr>
        <w:t>Informe de línea base de caminabilidad</w:t>
      </w:r>
    </w:p>
    <w:p w14:paraId="0E6DDD4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lang w:val="es-CO"/>
        </w:rPr>
        <w:t>ITT Cali Inteligente · Equipo de Gobierno de Datos</w:t>
      </w:r>
      <w:r w:rsidRPr="00E12FD2">
        <w:rPr>
          <w:rFonts w:ascii="Arial" w:hAnsi="Arial" w:cs="Arial"/>
          <w:color w:val="444444"/>
          <w:lang w:val="es-CO"/>
        </w:rPr>
        <w:br/>
        <w:t>Fecha: 2026-09-18</w:t>
      </w:r>
    </w:p>
    <w:p w14:paraId="1A65F62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Presentación</w:t>
      </w:r>
    </w:p>
    <w:p w14:paraId="54A13A0A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informe resume el estado de la caminabilidad del Barrio Obrero (Cali) a partir de la red peatonal de OpenStreetMap. Nuestro objetivo es ofrecer una línea base clara y fácil de leer, que sirva como punto de partida para evaluar el impacto de futuras intervenciones y para dialogar con distintos equipos del programa. Hemos procurado un lenguaje sencillo, acompañando cada sección con una breve explicación de lo que muestra y de por qué es relevante.</w:t>
      </w:r>
    </w:p>
    <w:p w14:paraId="483C85D9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unidad de análisis es el polígono único del barrio (37.73 ha). Todo el trabajo geoespacial se realiza en WGS84 (EPSG:4326) y se emplea EPSG:3116 únicamente para los cálculos de área y distancia. Con el fin de mantener el foco en la caminabilidad, se excluye deliberadamente la sección de indicadores complementarios (eventos), que no resulta relevante para este análisis.</w:t>
      </w:r>
    </w:p>
    <w:p w14:paraId="54E7A51B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Metodología en breve</w:t>
      </w:r>
    </w:p>
    <w:p w14:paraId="55B5DD6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red peatonal se descarga con la librería OSMnx (tipo de red «</w:t>
      </w:r>
      <w:proofErr w:type="spellStart"/>
      <w:r w:rsidRPr="00E12FD2">
        <w:rPr>
          <w:rFonts w:ascii="Arial" w:hAnsi="Arial" w:cs="Arial"/>
          <w:lang w:val="es-CO"/>
        </w:rPr>
        <w:t>walk</w:t>
      </w:r>
      <w:proofErr w:type="spellEnd"/>
      <w:r w:rsidRPr="00E12FD2">
        <w:rPr>
          <w:rFonts w:ascii="Arial" w:hAnsi="Arial" w:cs="Arial"/>
          <w:lang w:val="es-CO"/>
        </w:rPr>
        <w:t>») conservando todos los vértices de cada calle. Sobre ese grafo se calculan las métricas de conectividad: número de intersecciones, longitud total de la red, longitud promedio de los tramos y densidades por unidad de área. Las densidades son especialmente útiles porque permiten comparar zonas de distinto tamaño en igualdad de condiciones.</w:t>
      </w:r>
    </w:p>
    <w:p w14:paraId="3CFB2456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Métricas de línea base</w:t>
      </w:r>
    </w:p>
    <w:p w14:paraId="09ADDD6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siguiente tabla reúne los valores de referencia del barrio. Son las cifras que usaremos como punto de comparación en mediciones posteriores.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E7236" w:rsidRPr="00E12FD2" w14:paraId="3F1D1A57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124F17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Indicador</w:t>
            </w:r>
          </w:p>
        </w:tc>
        <w:tc>
          <w:tcPr>
            <w:tcW w:w="4320" w:type="dxa"/>
          </w:tcPr>
          <w:p w14:paraId="4F710D6E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Valor</w:t>
            </w:r>
          </w:p>
        </w:tc>
      </w:tr>
      <w:tr w:rsidR="009E7236" w:rsidRPr="00E12FD2" w14:paraId="102DECD5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84C3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del polígono</w:t>
            </w:r>
          </w:p>
        </w:tc>
        <w:tc>
          <w:tcPr>
            <w:tcW w:w="4320" w:type="dxa"/>
          </w:tcPr>
          <w:p w14:paraId="39E137FE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 ha (377,329 m²)</w:t>
            </w:r>
          </w:p>
        </w:tc>
      </w:tr>
      <w:tr w:rsidR="009E7236" w:rsidRPr="00E12FD2" w14:paraId="08ACA20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E36DE3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 peatonales</w:t>
            </w:r>
          </w:p>
        </w:tc>
        <w:tc>
          <w:tcPr>
            <w:tcW w:w="4320" w:type="dxa"/>
          </w:tcPr>
          <w:p w14:paraId="4BFB746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33E047FD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D1AD61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peatonal</w:t>
            </w:r>
          </w:p>
        </w:tc>
        <w:tc>
          <w:tcPr>
            <w:tcW w:w="4320" w:type="dxa"/>
          </w:tcPr>
          <w:p w14:paraId="43F54837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 km</w:t>
            </w:r>
          </w:p>
        </w:tc>
      </w:tr>
      <w:tr w:rsidR="009E7236" w:rsidRPr="00E12FD2" w14:paraId="64FEB0C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367EDD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promedio de segmento</w:t>
            </w:r>
          </w:p>
        </w:tc>
        <w:tc>
          <w:tcPr>
            <w:tcW w:w="4320" w:type="dxa"/>
          </w:tcPr>
          <w:p w14:paraId="4BADC8D7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 m</w:t>
            </w:r>
          </w:p>
        </w:tc>
      </w:tr>
      <w:tr w:rsidR="009E7236" w:rsidRPr="00E12FD2" w14:paraId="5883B4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D19A5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calle</w:t>
            </w:r>
          </w:p>
        </w:tc>
        <w:tc>
          <w:tcPr>
            <w:tcW w:w="4320" w:type="dxa"/>
          </w:tcPr>
          <w:p w14:paraId="191BBF3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 km/km²</w:t>
            </w:r>
          </w:p>
        </w:tc>
      </w:tr>
      <w:tr w:rsidR="009E7236" w:rsidRPr="00E12FD2" w14:paraId="4A9E3E09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B3D840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intersecciones</w:t>
            </w:r>
          </w:p>
        </w:tc>
        <w:tc>
          <w:tcPr>
            <w:tcW w:w="4320" w:type="dxa"/>
          </w:tcPr>
          <w:p w14:paraId="417BEF75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 int/km²</w:t>
            </w:r>
          </w:p>
        </w:tc>
      </w:tr>
      <w:tr w:rsidR="009E7236" w:rsidRPr="00E12FD2" w14:paraId="7B0D5DD6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BEB3A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lastRenderedPageBreak/>
              <w:t>Nodos OSM</w:t>
            </w:r>
          </w:p>
        </w:tc>
        <w:tc>
          <w:tcPr>
            <w:tcW w:w="4320" w:type="dxa"/>
          </w:tcPr>
          <w:p w14:paraId="35FE624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1CBFAFA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D5DA58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Segmentos OSM</w:t>
            </w:r>
          </w:p>
        </w:tc>
        <w:tc>
          <w:tcPr>
            <w:tcW w:w="4320" w:type="dxa"/>
          </w:tcPr>
          <w:p w14:paraId="092648B3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648</w:t>
            </w:r>
          </w:p>
        </w:tc>
      </w:tr>
    </w:tbl>
    <w:p w14:paraId="00C17A9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Contexto territorial: comparación con la Comuna 9</w:t>
      </w:r>
    </w:p>
    <w:p w14:paraId="198901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Para entender mejor el barrio, lo comparamos con la Comuna 9, que lo contiene. Recomendamos leer sobre todo las densidades, ya que las cifras absolutas (intersecciones y longitud total) favorecen a la comuna simplemente por su mayor extensión.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E7236" w:rsidRPr="00E12FD2" w14:paraId="02C73372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0C1F2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Métrica</w:t>
            </w:r>
          </w:p>
        </w:tc>
        <w:tc>
          <w:tcPr>
            <w:tcW w:w="2880" w:type="dxa"/>
          </w:tcPr>
          <w:p w14:paraId="4414570D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Barrio Obrero</w:t>
            </w:r>
          </w:p>
        </w:tc>
        <w:tc>
          <w:tcPr>
            <w:tcW w:w="2880" w:type="dxa"/>
          </w:tcPr>
          <w:p w14:paraId="5B5C6623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Comuna 9</w:t>
            </w:r>
          </w:p>
        </w:tc>
      </w:tr>
      <w:tr w:rsidR="009E7236" w:rsidRPr="00E12FD2" w14:paraId="65B11664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0D510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(ha)</w:t>
            </w:r>
          </w:p>
        </w:tc>
        <w:tc>
          <w:tcPr>
            <w:tcW w:w="2880" w:type="dxa"/>
          </w:tcPr>
          <w:p w14:paraId="2CE9CD90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</w:t>
            </w:r>
          </w:p>
        </w:tc>
        <w:tc>
          <w:tcPr>
            <w:tcW w:w="2880" w:type="dxa"/>
          </w:tcPr>
          <w:p w14:paraId="207FE641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290.38</w:t>
            </w:r>
          </w:p>
        </w:tc>
      </w:tr>
      <w:tr w:rsidR="009E7236" w:rsidRPr="00E12FD2" w14:paraId="003C753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B4DEC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</w:t>
            </w:r>
          </w:p>
        </w:tc>
        <w:tc>
          <w:tcPr>
            <w:tcW w:w="2880" w:type="dxa"/>
          </w:tcPr>
          <w:p w14:paraId="16D474EE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  <w:tc>
          <w:tcPr>
            <w:tcW w:w="2880" w:type="dxa"/>
          </w:tcPr>
          <w:p w14:paraId="6F969E1B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2.255</w:t>
            </w:r>
          </w:p>
        </w:tc>
      </w:tr>
      <w:tr w:rsidR="009E7236" w:rsidRPr="00E12FD2" w14:paraId="53314C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6A495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(km)</w:t>
            </w:r>
          </w:p>
        </w:tc>
        <w:tc>
          <w:tcPr>
            <w:tcW w:w="2880" w:type="dxa"/>
          </w:tcPr>
          <w:p w14:paraId="4A8CD145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</w:t>
            </w:r>
          </w:p>
        </w:tc>
        <w:tc>
          <w:tcPr>
            <w:tcW w:w="2880" w:type="dxa"/>
          </w:tcPr>
          <w:p w14:paraId="1745288C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227.52</w:t>
            </w:r>
          </w:p>
        </w:tc>
      </w:tr>
      <w:tr w:rsidR="009E7236" w:rsidRPr="00E12FD2" w14:paraId="0EB8218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40C82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Longitud prom. de segmento (m)</w:t>
            </w:r>
          </w:p>
        </w:tc>
        <w:tc>
          <w:tcPr>
            <w:tcW w:w="2880" w:type="dxa"/>
          </w:tcPr>
          <w:p w14:paraId="24708DED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</w:t>
            </w:r>
          </w:p>
        </w:tc>
        <w:tc>
          <w:tcPr>
            <w:tcW w:w="2880" w:type="dxa"/>
          </w:tcPr>
          <w:p w14:paraId="0D018781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34.8</w:t>
            </w:r>
          </w:p>
        </w:tc>
      </w:tr>
      <w:tr w:rsidR="009E7236" w:rsidRPr="00E12FD2" w14:paraId="57831A7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A09D6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Densidad de calle (km/km²)</w:t>
            </w:r>
          </w:p>
        </w:tc>
        <w:tc>
          <w:tcPr>
            <w:tcW w:w="2880" w:type="dxa"/>
          </w:tcPr>
          <w:p w14:paraId="55882484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</w:t>
            </w:r>
          </w:p>
        </w:tc>
        <w:tc>
          <w:tcPr>
            <w:tcW w:w="2880" w:type="dxa"/>
          </w:tcPr>
          <w:p w14:paraId="62EDCA9F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78.35</w:t>
            </w:r>
          </w:p>
        </w:tc>
      </w:tr>
      <w:tr w:rsidR="009E7236" w:rsidRPr="00E12FD2" w14:paraId="3EF4FDE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B25DD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Densidad de intersecciones (</w:t>
            </w:r>
            <w:proofErr w:type="spellStart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int</w:t>
            </w:r>
            <w:proofErr w:type="spellEnd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/km²)</w:t>
            </w:r>
          </w:p>
        </w:tc>
        <w:tc>
          <w:tcPr>
            <w:tcW w:w="2880" w:type="dxa"/>
          </w:tcPr>
          <w:p w14:paraId="6A0878EF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</w:t>
            </w:r>
          </w:p>
        </w:tc>
        <w:tc>
          <w:tcPr>
            <w:tcW w:w="2880" w:type="dxa"/>
          </w:tcPr>
          <w:p w14:paraId="6214470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777</w:t>
            </w:r>
          </w:p>
        </w:tc>
      </w:tr>
    </w:tbl>
    <w:p w14:paraId="57BE6402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En síntesis, el Barrio Obrero presenta una densidad de intersecciones de 617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 y una densidad de calle de 71.38 km/km², valores propios de una trama urbana consolidada y caminable, muy por encima del umbral de salud pública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/km²). La Comuna 9 es algo más densa (777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y con tramos más cortos, lo que ubica al barrio como una zona bien conectada dentro de un contexto comunal favorable para caminar.</w:t>
      </w:r>
    </w:p>
    <w:p w14:paraId="3E0F84AE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Resultados gráficos</w:t>
      </w:r>
    </w:p>
    <w:p w14:paraId="7461ECE3" w14:textId="02140919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A </w:t>
      </w:r>
      <w:r w:rsidR="000E40AA" w:rsidRPr="00E12FD2">
        <w:rPr>
          <w:rFonts w:ascii="Arial" w:hAnsi="Arial" w:cs="Arial"/>
          <w:lang w:val="es-CO"/>
        </w:rPr>
        <w:t>continuación,</w:t>
      </w:r>
      <w:r w:rsidRPr="00E12FD2">
        <w:rPr>
          <w:rFonts w:ascii="Arial" w:hAnsi="Arial" w:cs="Arial"/>
          <w:lang w:val="es-CO"/>
        </w:rPr>
        <w:t xml:space="preserve"> se presentan los gráficos de la línea base. Cada uno incluye una breve nota que explica qué observar y por qué es importante.</w:t>
      </w:r>
    </w:p>
    <w:p w14:paraId="6BC9ACF5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Red peatonal — línea base</w:t>
      </w:r>
    </w:p>
    <w:p w14:paraId="32FD33CF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mapa muestra la red peatonal del barrio tal como se descarga de OpenStreetMap. Cada línea es un tramo caminable y cada punto una intersección. Nos sirve como «fotografía» inicial de cómo está conectado el barrio para quien se desplaza a pie, y es la base sobre la que se calculan todas las métricas de este informe.</w:t>
      </w:r>
    </w:p>
    <w:p w14:paraId="36B948F8" w14:textId="1675BAB1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6E1A9546" wp14:editId="581D0961">
            <wp:extent cx="900915" cy="167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1_red_peatonal_barrio_obrer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6124" cy="168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E02" w:rsidRPr="00E12FD2">
        <w:rPr>
          <w:rFonts w:ascii="Arial" w:hAnsi="Arial" w:cs="Arial"/>
          <w:noProof/>
        </w:rPr>
        <w:t xml:space="preserve"> </w:t>
      </w:r>
    </w:p>
    <w:p w14:paraId="7D31117B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Densidad de intersecciones y malla vial</w:t>
      </w:r>
    </w:p>
    <w:p w14:paraId="5E788F2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Aquí presentamos un mapa de calor que resalta las zonas con mayor concentración de intersecciones. A la izquierda se ve sobre el contorno del barrio y a la derecha con los ejes viales oficiales (IDESC) de fondo. Las áreas más cálidas indican mallas más densas y, por tanto, más opciones de recorrido para el peatón.</w:t>
      </w:r>
    </w:p>
    <w:p w14:paraId="52187B32" w14:textId="3D11630D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289529B9" wp14:editId="7D6E5A4C">
            <wp:extent cx="5669280" cy="34835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2_heatmap_intersecciones_barrio_obrer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CD27" w14:textId="48F82C6E" w:rsidR="00E6799E" w:rsidRPr="00E12FD2" w:rsidRDefault="00E6799E">
      <w:pPr>
        <w:jc w:val="center"/>
        <w:rPr>
          <w:rFonts w:ascii="Arial" w:hAnsi="Arial" w:cs="Arial"/>
        </w:rPr>
      </w:pPr>
    </w:p>
    <w:p w14:paraId="73CD5AF0" w14:textId="2826A75E" w:rsidR="00E6799E" w:rsidRPr="00E12FD2" w:rsidRDefault="00E6799E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</w:rPr>
        <w:lastRenderedPageBreak/>
        <w:drawing>
          <wp:inline distT="0" distB="0" distL="0" distR="0" wp14:anchorId="6DEF967D" wp14:editId="12A97841">
            <wp:extent cx="3498850" cy="4192316"/>
            <wp:effectExtent l="0" t="0" r="635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1450" cy="419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1791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Distribución de la longitud de segmentos</w:t>
      </w:r>
    </w:p>
    <w:p w14:paraId="4603C67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histograma resume qué tan largos son los tramos de calle del barrio. En general, los tramos cortos favorecen la caminabilidad porque ofrecen más cruces y rutas alternativas. La media y la mediana marcadas ayudan a ubicar el «tramo típico» de la zona.</w:t>
      </w:r>
    </w:p>
    <w:p w14:paraId="19E13380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0D8B0961" wp14:editId="03C27A1E">
            <wp:extent cx="3651250" cy="217191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3_histograma_segmentos_barrio_obr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0279" cy="217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636E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lastRenderedPageBreak/>
        <w:t>Dispersión de la longitud de segmentos</w:t>
      </w:r>
    </w:p>
    <w:p w14:paraId="51D05A1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diagrama de caja complementa al histograma: muestra la mediana, el rango habitual y los tramos atípicos (muy largos o muy cortos). Es útil para detectar irregularidades en la trama urbana que podrían afectar la experiencia de caminar.</w:t>
      </w:r>
    </w:p>
    <w:p w14:paraId="411BEF4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BAD7334" wp14:editId="482990E5">
            <wp:extent cx="5669280" cy="4231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4_boxplot_segmentos_barrio_obr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697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Posición morfológica — Barrio Obrero vs Comuna 9</w:t>
      </w:r>
    </w:p>
    <w:p w14:paraId="5BF9577E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Este gráfico ubica al barrio según dos rasgos clave: la longitud promedio de segmento y la densidad de intersecciones, y lo compara con la Comuna 9. Las bandas de color señalan rangos de referencia de la literatura: la franja verde (400–700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 corresponde a tramas urbanas caminables y la línea roja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es el umbral asociado a beneficios de salud pública.</w:t>
      </w:r>
    </w:p>
    <w:p w14:paraId="079E656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DA87688" wp14:editId="6A00E45D">
            <wp:extent cx="4394200" cy="3053936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5_scatter_conectividad_barrio_obr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9187" cy="305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DD3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Tabla resumen de métricas urbanas</w:t>
      </w:r>
    </w:p>
    <w:p w14:paraId="436AF39B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Esta tabla reúne, en un solo vistazo, los indicadores más importantes de caminabilidad del barrio. Sirve como ficha técnica de la línea base y facilita el seguimiento en mediciones futuras.</w:t>
      </w:r>
    </w:p>
    <w:p w14:paraId="79104C9C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C693CDD" wp14:editId="6C50D654">
            <wp:extent cx="5669280" cy="27597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6_tabla_metricas_barrio_obr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EB92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Panel de métricas de caminabilidad</w:t>
      </w:r>
    </w:p>
    <w:p w14:paraId="24F4ECEC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panel presenta las cinco métricas de caminabilidad del barrio en formato de barras, pensado para una lectura rápida y para acompañar presentaciones o resúmenes ejecutivos.</w:t>
      </w:r>
    </w:p>
    <w:p w14:paraId="6331EC0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43B5205" wp14:editId="22C66D40">
            <wp:extent cx="5669280" cy="162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metricas_caminabilidad_barrio_obr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D8A4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Comparación Barrio Obrero vs Comuna 9</w:t>
      </w:r>
    </w:p>
    <w:p w14:paraId="327EC7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Finalmente, comparamos el barrio con la Comuna 9 que lo contiene. Conviene mirar sobre todo las densidades (km/km² e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/km²), que son comparables entre zonas de distinto tamaño; las cifras absolutas favorecen a la comuna simplemente por su mayor superficie.</w:t>
      </w:r>
    </w:p>
    <w:p w14:paraId="44B91F25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3159E53A" wp14:editId="60BBA5A7">
            <wp:extent cx="5669280" cy="163110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comparacion_barrio_obrero_vs_comuna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A284" w14:textId="77777777" w:rsidR="009E7236" w:rsidRPr="00E12FD2" w:rsidRDefault="00000000">
      <w:pPr>
        <w:pStyle w:val="Ttulo1"/>
        <w:rPr>
          <w:rFonts w:ascii="Arial" w:hAnsi="Arial" w:cs="Arial"/>
        </w:rPr>
      </w:pPr>
      <w:r w:rsidRPr="00E12FD2">
        <w:rPr>
          <w:rFonts w:ascii="Arial" w:hAnsi="Arial" w:cs="Arial"/>
          <w:color w:val="1B4F8A"/>
        </w:rPr>
        <w:t>Referencias de contexto</w:t>
      </w:r>
    </w:p>
    <w:p w14:paraId="6D234DC9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r w:rsidRPr="00E12FD2">
        <w:rPr>
          <w:rFonts w:ascii="Arial" w:hAnsi="Arial" w:cs="Arial"/>
        </w:rPr>
        <w:t>US EPA — Estimated Intersection Density of Walkable Roads (EnviroAtlas).</w:t>
      </w:r>
    </w:p>
    <w:p w14:paraId="7E6BFBD2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IPEN </w:t>
      </w:r>
      <w:proofErr w:type="spellStart"/>
      <w:r w:rsidRPr="00E12FD2">
        <w:rPr>
          <w:rFonts w:ascii="Arial" w:hAnsi="Arial" w:cs="Arial"/>
          <w:lang w:val="es-CO"/>
        </w:rPr>
        <w:t>Adult</w:t>
      </w:r>
      <w:proofErr w:type="spellEnd"/>
      <w:r w:rsidRPr="00E12FD2">
        <w:rPr>
          <w:rFonts w:ascii="Arial" w:hAnsi="Arial" w:cs="Arial"/>
          <w:lang w:val="es-CO"/>
        </w:rPr>
        <w:t xml:space="preserve"> </w:t>
      </w:r>
      <w:proofErr w:type="spellStart"/>
      <w:r w:rsidRPr="00E12FD2">
        <w:rPr>
          <w:rFonts w:ascii="Arial" w:hAnsi="Arial" w:cs="Arial"/>
          <w:lang w:val="es-CO"/>
        </w:rPr>
        <w:t>study</w:t>
      </w:r>
      <w:proofErr w:type="spellEnd"/>
      <w:r w:rsidRPr="00E12FD2">
        <w:rPr>
          <w:rFonts w:ascii="Arial" w:hAnsi="Arial" w:cs="Arial"/>
          <w:lang w:val="es-CO"/>
        </w:rPr>
        <w:t xml:space="preserve"> / Universidad de Melbourne — umbral de ~100 intersecciones/km² asociado a mayor actividad física.</w:t>
      </w:r>
    </w:p>
    <w:p w14:paraId="0FA8A566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Gobierno de Queensland — regulación de barrios caminables (cuadras ≤ 250 m).</w:t>
      </w:r>
    </w:p>
    <w:p w14:paraId="53DDE224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proofErr w:type="spellStart"/>
      <w:r w:rsidRPr="00E12FD2">
        <w:rPr>
          <w:rFonts w:ascii="Arial" w:hAnsi="Arial" w:cs="Arial"/>
        </w:rPr>
        <w:t>Stangl</w:t>
      </w:r>
      <w:proofErr w:type="spellEnd"/>
      <w:r w:rsidRPr="00E12FD2">
        <w:rPr>
          <w:rFonts w:ascii="Arial" w:hAnsi="Arial" w:cs="Arial"/>
        </w:rPr>
        <w:t>, P. (2015) — Block size-based measures of street connectivity, Urban Design International.</w:t>
      </w:r>
    </w:p>
    <w:p w14:paraId="02395FBD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19"/>
          <w:lang w:val="es-CO"/>
        </w:rPr>
        <w:t>Nota: los umbrales provienen mayormente de literatura anglosajona (EE. UU. y Australia). No existe un estándar nacional colombiano de densidad de intersecciones ampliamente adoptado, por lo que aquí se usan como referencia comparativa, con la Comuna 9 aportando el contraste local. Contenido reformulado para cumplir con las restricciones de licencia de las fuentes.</w:t>
      </w:r>
    </w:p>
    <w:p>
      <w:pPr>
        <w:spacing w:before="240" w:after="120"/>
      </w:pPr>
      <w:r>
        <w:rPr>
          <w:rFonts w:ascii="Arial" w:hAnsi="Arial"/>
          <w:b/>
          <w:color w:val="1B4F8A"/>
          <w:sz w:val="28"/>
        </w:rPr>
        <w:t>Índice de Caminabilidad (0–100)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Para resumir la caminabilidad en una sola cifra, construimos un índice de 0 a 100 que combina tres indicadores de la red peatonal. La normalización usa referencias fijas por indicador (no valores relativos entre zonas), de modo que el resultado sea estable y comparable a lo largo del tiempo. Cada indicador se lleva a una escala de 0 a 100 y luego se pondera; la longitud de segmento se trata como indicador inverso, ya que las cuadras más cortas favorecen la caminabilidad.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Los pesos por defecto son: densidad de intersecciones 0.45, densidad de calle 0.35 y longitud de segmento 0.20. Tanto los umbrales como los pesos pueden ajustarse según el criterio del equipo. La siguiente tabla resume las referencias empleadas y los puntajes obtenidos por cada zona.</w:t>
      </w:r>
    </w:p>
    <w:tbl>
      <w:tblPr>
        <w:tblStyle w:val="Cuadrculaclara-nfasis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Indicador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ref_min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ref_max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Regla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BO (valor → score)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C9 (valor → score)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Densidad de intersecciones (int/km²)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800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más alto = mejor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617 → 73.9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777 → 96.7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Densidad de calle (km/km²)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más alto = mejor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71.4 → 73.4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78.4 → 83.4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Longitud prom. de segmento (m)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más bajo = mejor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41.6 → 98.6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34.8 → 100.0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Índice de Caminabilidad (0–100)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78.7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92.7</w:t>
            </w:r>
          </w:p>
        </w:tc>
      </w:tr>
    </w:tbl>
    <w:p>
      <w:pPr>
        <w:spacing w:after="160"/>
        <w:jc w:val="both"/>
      </w:pPr>
      <w:r>
        <w:rPr>
          <w:rFonts w:ascii="Arial" w:hAnsi="Arial"/>
          <w:b w:val="0"/>
          <w:sz w:val="22"/>
        </w:rPr>
        <w:t>La columna «valor → score» muestra el dato observado de cada zona y el puntaje 0–100 que resulta tras aplicar la regla. En «más alto = mejor», un valor mayor sube el puntaje; en «más bajo = mejor» (longitud de segmento), un valor menor lo sube, porque las cuadras cortas favorecen la caminabilidad. Por eso los 41.6 m de Barrio Obrero, cercanos al ideal (~40 m), obtienen 98.6.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En la línea base, el Barrio Obrero obtiene un índice de 78.7 y la Comuna 9 de 92.7. Ambos valores son altos y reflejan tramas urbanas caminables. La ventaja de la Comuna 9 proviene sobre todo de su mayor densidad de intersecciones. Conviene recordar que el índice es una síntesis: su lectura debe acompañarse de los indicadores individuales y del contexto de cada zona.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999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indice_caminabilidad_barrio_obre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9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Arial" w:hAnsi="Arial"/>
          <w:b w:val="0"/>
          <w:color w:val="444444"/>
          <w:sz w:val="19"/>
        </w:rPr>
        <w:t>Nota metodológica: los umbrales de referencia se basan en literatura de caminabilidad (US EPA EnviroAtlas; IPEN / U. de Melbourne; regulación de Queensland; Stangl, 2015) y se usan como marco comparativo. El índice es ajustable y está pensado para evolucionar a medida que se incorporen nuevos indicadores o datos locales.</w:t>
      </w:r>
    </w:p>
    <w:sectPr w:rsidR="009E7236" w:rsidRPr="00E12F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7006925">
    <w:abstractNumId w:val="8"/>
  </w:num>
  <w:num w:numId="2" w16cid:durableId="586498431">
    <w:abstractNumId w:val="6"/>
  </w:num>
  <w:num w:numId="3" w16cid:durableId="146241204">
    <w:abstractNumId w:val="5"/>
  </w:num>
  <w:num w:numId="4" w16cid:durableId="567879902">
    <w:abstractNumId w:val="4"/>
  </w:num>
  <w:num w:numId="5" w16cid:durableId="386219690">
    <w:abstractNumId w:val="7"/>
  </w:num>
  <w:num w:numId="6" w16cid:durableId="874929298">
    <w:abstractNumId w:val="3"/>
  </w:num>
  <w:num w:numId="7" w16cid:durableId="2144229349">
    <w:abstractNumId w:val="2"/>
  </w:num>
  <w:num w:numId="8" w16cid:durableId="510611111">
    <w:abstractNumId w:val="1"/>
  </w:num>
  <w:num w:numId="9" w16cid:durableId="312299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0AA"/>
    <w:rsid w:val="0015074B"/>
    <w:rsid w:val="0029639D"/>
    <w:rsid w:val="00326F90"/>
    <w:rsid w:val="009D1EB8"/>
    <w:rsid w:val="009E7236"/>
    <w:rsid w:val="009F0275"/>
    <w:rsid w:val="00A95E02"/>
    <w:rsid w:val="00AA1D8D"/>
    <w:rsid w:val="00B47730"/>
    <w:rsid w:val="00CB0664"/>
    <w:rsid w:val="00DD2BF0"/>
    <w:rsid w:val="00E12FD2"/>
    <w:rsid w:val="00E679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1C424A"/>
  <w14:defaultImageDpi w14:val="300"/>
  <w15:docId w15:val="{80A65743-D7F2-4A4C-ABEB-A173CBAF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952</Words>
  <Characters>5237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Castaño lopez</cp:lastModifiedBy>
  <cp:revision>8</cp:revision>
  <dcterms:created xsi:type="dcterms:W3CDTF">2013-12-23T23:15:00Z</dcterms:created>
  <dcterms:modified xsi:type="dcterms:W3CDTF">2026-09-18T20:20:00Z</dcterms:modified>
  <cp:category/>
</cp:coreProperties>
</file>