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C8F4F" w14:textId="77777777" w:rsidR="009E7236" w:rsidRPr="00E12FD2" w:rsidRDefault="00000000">
      <w:pPr>
        <w:jc w:val="center"/>
        <w:rPr>
          <w:rFonts w:ascii="Arial" w:hAnsi="Arial" w:cs="Arial"/>
          <w:lang w:val="es-CO"/>
        </w:rPr>
      </w:pPr>
      <w:r w:rsidRPr="00E12FD2">
        <w:rPr>
          <w:rFonts w:ascii="Arial" w:hAnsi="Arial" w:cs="Arial"/>
          <w:b/>
          <w:color w:val="1B4F8A"/>
          <w:sz w:val="52"/>
          <w:lang w:val="es-CO"/>
        </w:rPr>
        <w:t>Índice de Caminabilidad</w:t>
      </w:r>
    </w:p>
    <w:p w14:paraId="0C329681" w14:textId="77777777" w:rsidR="009E7236" w:rsidRPr="00E12FD2" w:rsidRDefault="00000000">
      <w:pPr>
        <w:jc w:val="center"/>
        <w:rPr>
          <w:rFonts w:ascii="Arial" w:hAnsi="Arial" w:cs="Arial"/>
          <w:lang w:val="es-CO"/>
        </w:rPr>
      </w:pPr>
      <w:r w:rsidRPr="00E12FD2">
        <w:rPr>
          <w:rFonts w:ascii="Arial" w:hAnsi="Arial" w:cs="Arial"/>
          <w:color w:val="444444"/>
          <w:sz w:val="36"/>
          <w:lang w:val="es-CO"/>
        </w:rPr>
        <w:t>Barrio Obrero — Cali</w:t>
      </w:r>
    </w:p>
    <w:p w14:paraId="0BC48D50" w14:textId="77777777" w:rsidR="009E7236" w:rsidRPr="00E12FD2" w:rsidRDefault="00000000">
      <w:pPr>
        <w:jc w:val="center"/>
        <w:rPr>
          <w:rFonts w:ascii="Arial" w:hAnsi="Arial" w:cs="Arial"/>
          <w:lang w:val="es-CO"/>
        </w:rPr>
      </w:pPr>
      <w:r w:rsidRPr="00E12FD2">
        <w:rPr>
          <w:rFonts w:ascii="Arial" w:hAnsi="Arial" w:cs="Arial"/>
          <w:b/>
          <w:color w:val="2E7D32"/>
          <w:sz w:val="26"/>
          <w:lang w:val="es-CO"/>
        </w:rPr>
        <w:t>Informe de línea base de caminabilidad</w:t>
      </w:r>
    </w:p>
    <w:p w14:paraId="0E6DDD41" w14:textId="77777777" w:rsidR="009E7236" w:rsidRPr="00E12FD2" w:rsidRDefault="00000000">
      <w:pPr>
        <w:jc w:val="center"/>
        <w:rPr>
          <w:rFonts w:ascii="Arial" w:hAnsi="Arial" w:cs="Arial"/>
          <w:lang w:val="es-CO"/>
        </w:rPr>
      </w:pPr>
      <w:r w:rsidRPr="00E12FD2">
        <w:rPr>
          <w:rFonts w:ascii="Arial" w:hAnsi="Arial" w:cs="Arial"/>
          <w:color w:val="444444"/>
          <w:lang w:val="es-CO"/>
        </w:rPr>
        <w:t>ITT Cali Inteligente · Equipo de Gobierno de Datos</w:t>
      </w:r>
      <w:r w:rsidRPr="00E12FD2">
        <w:rPr>
          <w:rFonts w:ascii="Arial" w:hAnsi="Arial" w:cs="Arial"/>
          <w:color w:val="444444"/>
          <w:lang w:val="es-CO"/>
        </w:rPr>
        <w:br/>
        <w:t>Fecha: 2026-09-18</w:t>
      </w:r>
    </w:p>
    <w:p w14:paraId="1A65F629" w14:textId="77777777" w:rsidR="009E7236" w:rsidRPr="00E12FD2" w:rsidRDefault="00000000">
      <w:pPr>
        <w:pStyle w:val="Ttulo1"/>
        <w:rPr>
          <w:rFonts w:ascii="Arial" w:hAnsi="Arial" w:cs="Arial"/>
          <w:lang w:val="es-CO"/>
        </w:rPr>
      </w:pPr>
      <w:r w:rsidRPr="00E12FD2">
        <w:rPr>
          <w:rFonts w:ascii="Arial" w:hAnsi="Arial" w:cs="Arial"/>
          <w:color w:val="1B4F8A"/>
          <w:lang w:val="es-CO"/>
        </w:rPr>
        <w:t>Presentación</w:t>
      </w:r>
    </w:p>
    <w:p w14:paraId="54A13A0A" w14:textId="77777777" w:rsidR="009E7236" w:rsidRPr="00E12FD2" w:rsidRDefault="00000000">
      <w:pPr>
        <w:spacing w:after="160"/>
        <w:jc w:val="both"/>
        <w:rPr>
          <w:rFonts w:ascii="Arial" w:hAnsi="Arial" w:cs="Arial"/>
          <w:lang w:val="es-CO"/>
        </w:rPr>
      </w:pPr>
      <w:r w:rsidRPr="00E12FD2">
        <w:rPr>
          <w:rFonts w:ascii="Arial" w:hAnsi="Arial" w:cs="Arial"/>
          <w:lang w:val="es-CO"/>
        </w:rPr>
        <w:t>Este informe resume el estado de la caminabilidad del Barrio Obrero (Cali) a partir de la red peatonal de OpenStreetMap. Nuestro objetivo es ofrecer una línea base clara y fácil de leer, que sirva como punto de partida para evaluar el impacto de futuras intervenciones y para dialogar con distintos equipos del programa. Hemos procurado un lenguaje sencillo, acompañando cada sección con una breve explicación de lo que muestra y de por qué es relevante.</w:t>
      </w:r>
    </w:p>
    <w:p w14:paraId="483C85D9" w14:textId="77777777" w:rsidR="009E7236" w:rsidRPr="00E12FD2" w:rsidRDefault="00000000">
      <w:pPr>
        <w:spacing w:after="160"/>
        <w:jc w:val="both"/>
        <w:rPr>
          <w:rFonts w:ascii="Arial" w:hAnsi="Arial" w:cs="Arial"/>
          <w:lang w:val="es-CO"/>
        </w:rPr>
      </w:pPr>
      <w:r w:rsidRPr="00E12FD2">
        <w:rPr>
          <w:rFonts w:ascii="Arial" w:hAnsi="Arial" w:cs="Arial"/>
          <w:lang w:val="es-CO"/>
        </w:rPr>
        <w:t>La unidad de análisis es el polígono único del barrio (37.73 ha). Todo el trabajo geoespacial se realiza en WGS84 (EPSG:4326) y se emplea EPSG:3116 únicamente para los cálculos de área y distancia. Con el fin de mantener el foco en la caminabilidad, se excluye deliberadamente la sección de indicadores complementarios (eventos), que no resulta relevante para este análisis.</w:t>
      </w:r>
    </w:p>
    <w:p w14:paraId="54E7A51B" w14:textId="77777777" w:rsidR="009E7236" w:rsidRPr="00E12FD2" w:rsidRDefault="00000000">
      <w:pPr>
        <w:pStyle w:val="Ttulo1"/>
        <w:rPr>
          <w:rFonts w:ascii="Arial" w:hAnsi="Arial" w:cs="Arial"/>
          <w:lang w:val="es-CO"/>
        </w:rPr>
      </w:pPr>
      <w:r w:rsidRPr="00E12FD2">
        <w:rPr>
          <w:rFonts w:ascii="Arial" w:hAnsi="Arial" w:cs="Arial"/>
          <w:color w:val="1B4F8A"/>
          <w:lang w:val="es-CO"/>
        </w:rPr>
        <w:t>Metodología en breve</w:t>
      </w:r>
    </w:p>
    <w:p w14:paraId="55B5DD64" w14:textId="77777777" w:rsidR="009E7236" w:rsidRPr="00E12FD2" w:rsidRDefault="00000000">
      <w:pPr>
        <w:spacing w:after="160"/>
        <w:jc w:val="both"/>
        <w:rPr>
          <w:rFonts w:ascii="Arial" w:hAnsi="Arial" w:cs="Arial"/>
          <w:lang w:val="es-CO"/>
        </w:rPr>
      </w:pPr>
      <w:r w:rsidRPr="00E12FD2">
        <w:rPr>
          <w:rFonts w:ascii="Arial" w:hAnsi="Arial" w:cs="Arial"/>
          <w:lang w:val="es-CO"/>
        </w:rPr>
        <w:t>La red peatonal se descarga con la librería OSMnx (tipo de red «</w:t>
      </w:r>
      <w:proofErr w:type="spellStart"/>
      <w:r w:rsidRPr="00E12FD2">
        <w:rPr>
          <w:rFonts w:ascii="Arial" w:hAnsi="Arial" w:cs="Arial"/>
          <w:lang w:val="es-CO"/>
        </w:rPr>
        <w:t>walk</w:t>
      </w:r>
      <w:proofErr w:type="spellEnd"/>
      <w:r w:rsidRPr="00E12FD2">
        <w:rPr>
          <w:rFonts w:ascii="Arial" w:hAnsi="Arial" w:cs="Arial"/>
          <w:lang w:val="es-CO"/>
        </w:rPr>
        <w:t>») conservando todos los vértices de cada calle. Sobre ese grafo se calculan las métricas de conectividad: número de intersecciones, longitud total de la red, longitud promedio de los tramos y densidades por unidad de área. Las densidades son especialmente útiles porque permiten comparar zonas de distinto tamaño en igualdad de condiciones.</w:t>
      </w:r>
    </w:p>
    <w:p>
      <w:pPr>
        <w:spacing w:after="120" w:before="240"/>
      </w:pPr>
      <w:r>
        <w:rPr>
          <w:rFonts w:ascii="Arial" w:hAnsi="Arial"/>
          <w:b/>
          <w:color w:val="1B4F8A"/>
          <w:sz w:val="28"/>
        </w:rPr>
        <w:t>Contexto de la malla vial de Cali (PIMU)</w:t>
      </w:r>
    </w:p>
    <w:p>
      <w:pPr>
        <w:spacing w:after="160"/>
        <w:jc w:val="both"/>
      </w:pPr>
      <w:r>
        <w:rPr>
          <w:rFonts w:ascii="Arial" w:hAnsi="Arial"/>
          <w:b w:val="0"/>
          <w:sz w:val="22"/>
        </w:rPr>
        <w:t>Para situar la jerarquía de las vías analizadas, tomamos como soporte documental el Documento Técnico de Soporte del Plan Integral de Movilidad Urbana (PIMU) de Santiago de Cali. Según esta fuente, la malla vial principal de la ciudad se distribuye en arterias primarias (459,9 km, ~45%), arterias secundarias (306,6 km, ~30%) y vías colectoras (245,28 km, ~24%), para un total aproximado de 1.012 km.</w:t>
      </w:r>
    </w:p>
    <w:p>
      <w:pPr>
        <w:spacing w:after="160"/>
        <w:jc w:val="both"/>
      </w:pPr>
      <w:r>
        <w:rPr>
          <w:rFonts w:ascii="Arial" w:hAnsi="Arial"/>
          <w:b w:val="0"/>
          <w:sz w:val="22"/>
        </w:rPr>
        <w:t>Conviene precisar que esa cifra corresponde únicamente a la malla vial principal vehicular, y no a la malla total. Al incorporar las vías locales y barriales, la red vial urbana total de Cali supera los 2.600–2.800 km lineales. La red peatonal que se calcula en este informe con OSMnx es todavía más densa, ya que contabiliza andenes a ambos costados, senderos, callejones y cruces que no forman parte del inventario vehicular formal. Por ello, los kilómetros de red peatonal de las zonas de estudio no son comparables de forma directa con los del PIMU: responden a definiciones, escalas y coberturas distintas.</w:t>
      </w:r>
    </w:p>
    <w:p>
      <w:pPr>
        <w:spacing w:after="160"/>
        <w:jc w:val="both"/>
      </w:pPr>
      <w:r>
        <w:rPr>
          <w:rFonts w:ascii="Arial" w:hAnsi="Arial"/>
          <w:b w:val="0"/>
          <w:sz w:val="22"/>
        </w:rPr>
        <w:t>En la práctica, este dato nos sirve para caracterizar la jerarquía de los corredores —por ejemplo, la Av. Roosevelt como vía arteria secundaria o colectora según el tramo, frente a las vías locales que predominan en el Barrio Obrero— y no como referencia numérica de la longitud de la red peatonal.</w:t>
      </w:r>
    </w:p>
    <w:p>
      <w:pPr>
        <w:spacing w:after="160"/>
        <w:jc w:val="both"/>
      </w:pPr>
      <w:r>
        <w:rPr>
          <w:rFonts w:ascii="Arial" w:hAnsi="Arial"/>
          <w:b w:val="0"/>
          <w:color w:val="444444"/>
          <w:sz w:val="19"/>
        </w:rPr>
        <w:t>Fuente: Alcaldía de Santiago de Cali &amp; Secretaría de Movilidad (2018). Plan Integral de Movilidad Urbana de Santiago de Cali (PIMU) — Documento Técnico de Soporte (DTS). Santiago de Cali, Colombia. Cap. Diagnóstico de la Malla Vial Principal (en el marco del POT — Acuerdo 0373 de 2014).</w:t>
      </w:r>
    </w:p>
    <w:p w14:paraId="3CFB2456" w14:textId="77777777" w:rsidR="009E7236" w:rsidRPr="00E12FD2" w:rsidRDefault="00000000">
      <w:pPr>
        <w:pStyle w:val="Ttulo1"/>
        <w:rPr>
          <w:rFonts w:ascii="Arial" w:hAnsi="Arial" w:cs="Arial"/>
          <w:lang w:val="es-CO"/>
        </w:rPr>
      </w:pPr>
      <w:r w:rsidRPr="00E12FD2">
        <w:rPr>
          <w:rFonts w:ascii="Arial" w:hAnsi="Arial" w:cs="Arial"/>
          <w:color w:val="1B4F8A"/>
          <w:lang w:val="es-CO"/>
        </w:rPr>
        <w:t>Métricas de línea base</w:t>
      </w:r>
    </w:p>
    <w:p w14:paraId="09ADDD60" w14:textId="77777777" w:rsidR="009E7236" w:rsidRPr="00E12FD2" w:rsidRDefault="00000000">
      <w:pPr>
        <w:spacing w:after="160"/>
        <w:jc w:val="both"/>
        <w:rPr>
          <w:rFonts w:ascii="Arial" w:hAnsi="Arial" w:cs="Arial"/>
          <w:lang w:val="es-CO"/>
        </w:rPr>
      </w:pPr>
      <w:r w:rsidRPr="00E12FD2">
        <w:rPr>
          <w:rFonts w:ascii="Arial" w:hAnsi="Arial" w:cs="Arial"/>
          <w:lang w:val="es-CO"/>
        </w:rPr>
        <w:t>La siguiente tabla reúne los valores de referencia del barrio. Son las cifras que usaremos como punto de comparación en mediciones posteriores.</w:t>
      </w:r>
    </w:p>
    <w:tbl>
      <w:tblPr>
        <w:tblStyle w:val="Cuadrculaclara-nfasis1"/>
        <w:tblW w:w="0" w:type="auto"/>
        <w:jc w:val="center"/>
        <w:tblLook w:val="04A0" w:firstRow="1" w:lastRow="0" w:firstColumn="1" w:lastColumn="0" w:noHBand="0" w:noVBand="1"/>
      </w:tblPr>
      <w:tblGrid>
        <w:gridCol w:w="4320"/>
        <w:gridCol w:w="4320"/>
      </w:tblGrid>
      <w:tr w:rsidR="009E7236" w:rsidRPr="00E12FD2" w14:paraId="3F1D1A57" w14:textId="77777777" w:rsidTr="009E72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124F17" w14:textId="77777777" w:rsidR="009E7236" w:rsidRPr="00E12FD2" w:rsidRDefault="00000000">
            <w:pPr>
              <w:rPr>
                <w:rFonts w:ascii="Arial" w:hAnsi="Arial" w:cs="Arial"/>
              </w:rPr>
            </w:pPr>
            <w:r w:rsidRPr="00E12FD2">
              <w:rPr>
                <w:rFonts w:ascii="Arial" w:hAnsi="Arial" w:cs="Arial"/>
              </w:rPr>
              <w:t>Indicador</w:t>
            </w:r>
          </w:p>
        </w:tc>
        <w:tc>
          <w:tcPr>
            <w:tcW w:w="4320" w:type="dxa"/>
          </w:tcPr>
          <w:p w14:paraId="4F710D6E" w14:textId="77777777" w:rsidR="009E7236" w:rsidRPr="00E12FD2"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12FD2">
              <w:rPr>
                <w:rFonts w:ascii="Arial" w:hAnsi="Arial" w:cs="Arial"/>
              </w:rPr>
              <w:t>Valor</w:t>
            </w:r>
          </w:p>
        </w:tc>
      </w:tr>
      <w:tr w:rsidR="009E7236" w:rsidRPr="00E12FD2" w14:paraId="102DECD5" w14:textId="77777777" w:rsidTr="009E72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884C3A" w14:textId="77777777" w:rsidR="009E7236" w:rsidRPr="00E12FD2" w:rsidRDefault="00000000">
            <w:pPr>
              <w:rPr>
                <w:rFonts w:ascii="Arial" w:hAnsi="Arial" w:cs="Arial"/>
              </w:rPr>
            </w:pPr>
            <w:r w:rsidRPr="00E12FD2">
              <w:rPr>
                <w:rFonts w:ascii="Arial" w:hAnsi="Arial" w:cs="Arial"/>
              </w:rPr>
              <w:t>Área del polígono</w:t>
            </w:r>
          </w:p>
        </w:tc>
        <w:tc>
          <w:tcPr>
            <w:tcW w:w="4320" w:type="dxa"/>
          </w:tcPr>
          <w:p w14:paraId="39E137FE" w14:textId="77777777" w:rsidR="009E7236" w:rsidRPr="00E12FD2"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12FD2">
              <w:rPr>
                <w:rFonts w:ascii="Arial" w:hAnsi="Arial" w:cs="Arial"/>
              </w:rPr>
              <w:t>37.73 ha (377,329 m²)</w:t>
            </w:r>
          </w:p>
        </w:tc>
      </w:tr>
      <w:tr w:rsidR="009E7236" w:rsidRPr="00E12FD2" w14:paraId="08ACA20E" w14:textId="77777777" w:rsidTr="009E72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E36DE3" w14:textId="77777777" w:rsidR="009E7236" w:rsidRPr="00E12FD2" w:rsidRDefault="00000000">
            <w:pPr>
              <w:rPr>
                <w:rFonts w:ascii="Arial" w:hAnsi="Arial" w:cs="Arial"/>
              </w:rPr>
            </w:pPr>
            <w:r w:rsidRPr="00E12FD2">
              <w:rPr>
                <w:rFonts w:ascii="Arial" w:hAnsi="Arial" w:cs="Arial"/>
              </w:rPr>
              <w:t>Intersecciones peatonales</w:t>
            </w:r>
          </w:p>
        </w:tc>
        <w:tc>
          <w:tcPr>
            <w:tcW w:w="4320" w:type="dxa"/>
          </w:tcPr>
          <w:p w14:paraId="4BFB7462" w14:textId="77777777" w:rsidR="009E7236" w:rsidRPr="00E12FD2"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12FD2">
              <w:rPr>
                <w:rFonts w:ascii="Arial" w:hAnsi="Arial" w:cs="Arial"/>
              </w:rPr>
              <w:t>233</w:t>
            </w:r>
          </w:p>
        </w:tc>
      </w:tr>
      <w:tr w:rsidR="009E7236" w:rsidRPr="00E12FD2" w14:paraId="33E047FD" w14:textId="77777777" w:rsidTr="009E72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D1AD61" w14:textId="77777777" w:rsidR="009E7236" w:rsidRPr="00E12FD2" w:rsidRDefault="00000000">
            <w:pPr>
              <w:rPr>
                <w:rFonts w:ascii="Arial" w:hAnsi="Arial" w:cs="Arial"/>
              </w:rPr>
            </w:pPr>
            <w:r w:rsidRPr="00E12FD2">
              <w:rPr>
                <w:rFonts w:ascii="Arial" w:hAnsi="Arial" w:cs="Arial"/>
              </w:rPr>
              <w:t>Longitud de red peatonal</w:t>
            </w:r>
          </w:p>
        </w:tc>
        <w:tc>
          <w:tcPr>
            <w:tcW w:w="4320" w:type="dxa"/>
          </w:tcPr>
          <w:p w14:paraId="43F54837" w14:textId="77777777" w:rsidR="009E7236" w:rsidRPr="00E12FD2"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12FD2">
              <w:rPr>
                <w:rFonts w:ascii="Arial" w:hAnsi="Arial" w:cs="Arial"/>
              </w:rPr>
              <w:t>26.93 km</w:t>
            </w:r>
          </w:p>
        </w:tc>
      </w:tr>
      <w:tr w:rsidR="009E7236" w:rsidRPr="00E12FD2" w14:paraId="64FEB0CD" w14:textId="77777777" w:rsidTr="009E72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367EDD" w14:textId="77777777" w:rsidR="009E7236" w:rsidRPr="00E12FD2" w:rsidRDefault="00000000">
            <w:pPr>
              <w:rPr>
                <w:rFonts w:ascii="Arial" w:hAnsi="Arial" w:cs="Arial"/>
              </w:rPr>
            </w:pPr>
            <w:r w:rsidRPr="00E12FD2">
              <w:rPr>
                <w:rFonts w:ascii="Arial" w:hAnsi="Arial" w:cs="Arial"/>
              </w:rPr>
              <w:t>Longitud promedio de segmento</w:t>
            </w:r>
          </w:p>
        </w:tc>
        <w:tc>
          <w:tcPr>
            <w:tcW w:w="4320" w:type="dxa"/>
          </w:tcPr>
          <w:p w14:paraId="4BADC8D7" w14:textId="77777777" w:rsidR="009E7236" w:rsidRPr="00E12FD2"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12FD2">
              <w:rPr>
                <w:rFonts w:ascii="Arial" w:hAnsi="Arial" w:cs="Arial"/>
              </w:rPr>
              <w:t>41.6 m</w:t>
            </w:r>
          </w:p>
        </w:tc>
      </w:tr>
      <w:tr w:rsidR="009E7236" w:rsidRPr="00E12FD2" w14:paraId="5883B497" w14:textId="77777777" w:rsidTr="009E72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D19A5E" w14:textId="77777777" w:rsidR="009E7236" w:rsidRPr="00E12FD2" w:rsidRDefault="00000000">
            <w:pPr>
              <w:rPr>
                <w:rFonts w:ascii="Arial" w:hAnsi="Arial" w:cs="Arial"/>
              </w:rPr>
            </w:pPr>
            <w:r w:rsidRPr="00E12FD2">
              <w:rPr>
                <w:rFonts w:ascii="Arial" w:hAnsi="Arial" w:cs="Arial"/>
              </w:rPr>
              <w:t>Densidad de calle</w:t>
            </w:r>
          </w:p>
        </w:tc>
        <w:tc>
          <w:tcPr>
            <w:tcW w:w="4320" w:type="dxa"/>
          </w:tcPr>
          <w:p w14:paraId="191BBF39" w14:textId="77777777" w:rsidR="009E7236" w:rsidRPr="00E12FD2"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12FD2">
              <w:rPr>
                <w:rFonts w:ascii="Arial" w:hAnsi="Arial" w:cs="Arial"/>
              </w:rPr>
              <w:t>71.38 km/km²</w:t>
            </w:r>
          </w:p>
        </w:tc>
      </w:tr>
      <w:tr w:rsidR="009E7236" w:rsidRPr="00E12FD2" w14:paraId="4A9E3E09" w14:textId="77777777" w:rsidTr="009E72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B3D840" w14:textId="77777777" w:rsidR="009E7236" w:rsidRPr="00E12FD2" w:rsidRDefault="00000000">
            <w:pPr>
              <w:rPr>
                <w:rFonts w:ascii="Arial" w:hAnsi="Arial" w:cs="Arial"/>
              </w:rPr>
            </w:pPr>
            <w:r w:rsidRPr="00E12FD2">
              <w:rPr>
                <w:rFonts w:ascii="Arial" w:hAnsi="Arial" w:cs="Arial"/>
              </w:rPr>
              <w:t>Densidad de intersecciones</w:t>
            </w:r>
          </w:p>
        </w:tc>
        <w:tc>
          <w:tcPr>
            <w:tcW w:w="4320" w:type="dxa"/>
          </w:tcPr>
          <w:p w14:paraId="417BEF75" w14:textId="77777777" w:rsidR="009E7236" w:rsidRPr="00E12FD2"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12FD2">
              <w:rPr>
                <w:rFonts w:ascii="Arial" w:hAnsi="Arial" w:cs="Arial"/>
              </w:rPr>
              <w:t>617 int/km²</w:t>
            </w:r>
          </w:p>
        </w:tc>
      </w:tr>
      <w:tr w:rsidR="009E7236" w:rsidRPr="00E12FD2" w14:paraId="7B0D5DD6" w14:textId="77777777" w:rsidTr="009E72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BEB3A4" w14:textId="77777777" w:rsidR="009E7236" w:rsidRPr="00E12FD2" w:rsidRDefault="00000000">
            <w:pPr>
              <w:rPr>
                <w:rFonts w:ascii="Arial" w:hAnsi="Arial" w:cs="Arial"/>
              </w:rPr>
            </w:pPr>
            <w:r w:rsidRPr="00E12FD2">
              <w:rPr>
                <w:rFonts w:ascii="Arial" w:hAnsi="Arial" w:cs="Arial"/>
              </w:rPr>
              <w:lastRenderedPageBreak/>
              <w:t>Nodos OSM</w:t>
            </w:r>
          </w:p>
        </w:tc>
        <w:tc>
          <w:tcPr>
            <w:tcW w:w="4320" w:type="dxa"/>
          </w:tcPr>
          <w:p w14:paraId="35FE6249" w14:textId="77777777" w:rsidR="009E7236" w:rsidRPr="00E12FD2"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12FD2">
              <w:rPr>
                <w:rFonts w:ascii="Arial" w:hAnsi="Arial" w:cs="Arial"/>
              </w:rPr>
              <w:t>233</w:t>
            </w:r>
          </w:p>
        </w:tc>
      </w:tr>
      <w:tr w:rsidR="009E7236" w:rsidRPr="00E12FD2" w14:paraId="1CBFAFA1" w14:textId="77777777" w:rsidTr="009E72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D5DA58" w14:textId="77777777" w:rsidR="009E7236" w:rsidRPr="00E12FD2" w:rsidRDefault="00000000">
            <w:pPr>
              <w:rPr>
                <w:rFonts w:ascii="Arial" w:hAnsi="Arial" w:cs="Arial"/>
              </w:rPr>
            </w:pPr>
            <w:r w:rsidRPr="00E12FD2">
              <w:rPr>
                <w:rFonts w:ascii="Arial" w:hAnsi="Arial" w:cs="Arial"/>
              </w:rPr>
              <w:t>Segmentos OSM</w:t>
            </w:r>
          </w:p>
        </w:tc>
        <w:tc>
          <w:tcPr>
            <w:tcW w:w="4320" w:type="dxa"/>
          </w:tcPr>
          <w:p w14:paraId="092648B3" w14:textId="77777777" w:rsidR="009E7236" w:rsidRPr="00E12FD2"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12FD2">
              <w:rPr>
                <w:rFonts w:ascii="Arial" w:hAnsi="Arial" w:cs="Arial"/>
              </w:rPr>
              <w:t>648</w:t>
            </w:r>
          </w:p>
        </w:tc>
      </w:tr>
    </w:tbl>
    <w:p w14:paraId="00C17A99" w14:textId="77777777" w:rsidR="009E7236" w:rsidRPr="00E12FD2" w:rsidRDefault="00000000">
      <w:pPr>
        <w:pStyle w:val="Ttulo1"/>
        <w:rPr>
          <w:rFonts w:ascii="Arial" w:hAnsi="Arial" w:cs="Arial"/>
          <w:lang w:val="es-CO"/>
        </w:rPr>
      </w:pPr>
      <w:r w:rsidRPr="00E12FD2">
        <w:rPr>
          <w:rFonts w:ascii="Arial" w:hAnsi="Arial" w:cs="Arial"/>
          <w:color w:val="1B4F8A"/>
          <w:lang w:val="es-CO"/>
        </w:rPr>
        <w:t>Contexto territorial: comparación con la Comuna 9</w:t>
      </w:r>
    </w:p>
    <w:p w14:paraId="19890186" w14:textId="77777777" w:rsidR="009E7236" w:rsidRPr="00E12FD2" w:rsidRDefault="00000000">
      <w:pPr>
        <w:spacing w:after="160"/>
        <w:jc w:val="both"/>
        <w:rPr>
          <w:rFonts w:ascii="Arial" w:hAnsi="Arial" w:cs="Arial"/>
          <w:lang w:val="es-CO"/>
        </w:rPr>
      </w:pPr>
      <w:r w:rsidRPr="00E12FD2">
        <w:rPr>
          <w:rFonts w:ascii="Arial" w:hAnsi="Arial" w:cs="Arial"/>
          <w:lang w:val="es-CO"/>
        </w:rPr>
        <w:t>Para entender mejor el barrio, lo comparamos con la Comuna 9, que lo contiene. Recomendamos leer sobre todo las densidades, ya que las cifras absolutas (intersecciones y longitud total) favorecen a la comuna simplemente por su mayor extensión.</w:t>
      </w:r>
    </w:p>
    <w:tbl>
      <w:tblPr>
        <w:tblStyle w:val="Cuadrculaclara-nfasis1"/>
        <w:tblW w:w="0" w:type="auto"/>
        <w:jc w:val="center"/>
        <w:tblLook w:val="04A0" w:firstRow="1" w:lastRow="0" w:firstColumn="1" w:lastColumn="0" w:noHBand="0" w:noVBand="1"/>
      </w:tblPr>
      <w:tblGrid>
        <w:gridCol w:w="2880"/>
        <w:gridCol w:w="2880"/>
        <w:gridCol w:w="2880"/>
      </w:tblGrid>
      <w:tr w:rsidR="009E7236" w:rsidRPr="00E12FD2" w14:paraId="02C73372" w14:textId="77777777" w:rsidTr="009E72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0C1F2A" w14:textId="77777777" w:rsidR="009E7236" w:rsidRPr="00E12FD2" w:rsidRDefault="00000000">
            <w:pPr>
              <w:rPr>
                <w:rFonts w:ascii="Arial" w:hAnsi="Arial" w:cs="Arial"/>
              </w:rPr>
            </w:pPr>
            <w:r w:rsidRPr="00E12FD2">
              <w:rPr>
                <w:rFonts w:ascii="Arial" w:hAnsi="Arial" w:cs="Arial"/>
              </w:rPr>
              <w:t>Métrica</w:t>
            </w:r>
          </w:p>
        </w:tc>
        <w:tc>
          <w:tcPr>
            <w:tcW w:w="2880" w:type="dxa"/>
          </w:tcPr>
          <w:p w14:paraId="4414570D" w14:textId="77777777" w:rsidR="009E7236" w:rsidRPr="00E12FD2"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12FD2">
              <w:rPr>
                <w:rFonts w:ascii="Arial" w:hAnsi="Arial" w:cs="Arial"/>
              </w:rPr>
              <w:t>Barrio Obrero</w:t>
            </w:r>
          </w:p>
        </w:tc>
        <w:tc>
          <w:tcPr>
            <w:tcW w:w="2880" w:type="dxa"/>
          </w:tcPr>
          <w:p w14:paraId="5B5C6623" w14:textId="77777777" w:rsidR="009E7236" w:rsidRPr="00E12FD2"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E12FD2">
              <w:rPr>
                <w:rFonts w:ascii="Arial" w:hAnsi="Arial" w:cs="Arial"/>
              </w:rPr>
              <w:t>Comuna 9</w:t>
            </w:r>
          </w:p>
        </w:tc>
      </w:tr>
      <w:tr w:rsidR="009E7236" w:rsidRPr="00E12FD2" w14:paraId="65B11664" w14:textId="77777777" w:rsidTr="009E72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0D5104" w14:textId="77777777" w:rsidR="009E7236" w:rsidRPr="00E12FD2" w:rsidRDefault="00000000">
            <w:pPr>
              <w:rPr>
                <w:rFonts w:ascii="Arial" w:hAnsi="Arial" w:cs="Arial"/>
              </w:rPr>
            </w:pPr>
            <w:r w:rsidRPr="00E12FD2">
              <w:rPr>
                <w:rFonts w:ascii="Arial" w:hAnsi="Arial" w:cs="Arial"/>
              </w:rPr>
              <w:t>Área (ha)</w:t>
            </w:r>
          </w:p>
        </w:tc>
        <w:tc>
          <w:tcPr>
            <w:tcW w:w="2880" w:type="dxa"/>
          </w:tcPr>
          <w:p w14:paraId="2CE9CD90" w14:textId="77777777" w:rsidR="009E7236" w:rsidRPr="00E12FD2"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12FD2">
              <w:rPr>
                <w:rFonts w:ascii="Arial" w:hAnsi="Arial" w:cs="Arial"/>
              </w:rPr>
              <w:t>37.73</w:t>
            </w:r>
          </w:p>
        </w:tc>
        <w:tc>
          <w:tcPr>
            <w:tcW w:w="2880" w:type="dxa"/>
          </w:tcPr>
          <w:p w14:paraId="207FE641" w14:textId="77777777" w:rsidR="009E7236" w:rsidRPr="00E12FD2"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12FD2">
              <w:rPr>
                <w:rFonts w:ascii="Arial" w:hAnsi="Arial" w:cs="Arial"/>
              </w:rPr>
              <w:t>290.38</w:t>
            </w:r>
          </w:p>
        </w:tc>
      </w:tr>
      <w:tr w:rsidR="009E7236" w:rsidRPr="00E12FD2" w14:paraId="003C753D" w14:textId="77777777" w:rsidTr="009E72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B4DECE" w14:textId="77777777" w:rsidR="009E7236" w:rsidRPr="00E12FD2" w:rsidRDefault="00000000">
            <w:pPr>
              <w:rPr>
                <w:rFonts w:ascii="Arial" w:hAnsi="Arial" w:cs="Arial"/>
              </w:rPr>
            </w:pPr>
            <w:r w:rsidRPr="00E12FD2">
              <w:rPr>
                <w:rFonts w:ascii="Arial" w:hAnsi="Arial" w:cs="Arial"/>
              </w:rPr>
              <w:t>Intersecciones</w:t>
            </w:r>
          </w:p>
        </w:tc>
        <w:tc>
          <w:tcPr>
            <w:tcW w:w="2880" w:type="dxa"/>
          </w:tcPr>
          <w:p w14:paraId="16D474EE" w14:textId="77777777" w:rsidR="009E7236" w:rsidRPr="00E12FD2"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12FD2">
              <w:rPr>
                <w:rFonts w:ascii="Arial" w:hAnsi="Arial" w:cs="Arial"/>
              </w:rPr>
              <w:t>233</w:t>
            </w:r>
          </w:p>
        </w:tc>
        <w:tc>
          <w:tcPr>
            <w:tcW w:w="2880" w:type="dxa"/>
          </w:tcPr>
          <w:p w14:paraId="6F969E1B" w14:textId="77777777" w:rsidR="009E7236" w:rsidRPr="00E12FD2"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12FD2">
              <w:rPr>
                <w:rFonts w:ascii="Arial" w:hAnsi="Arial" w:cs="Arial"/>
              </w:rPr>
              <w:t>2.255</w:t>
            </w:r>
          </w:p>
        </w:tc>
      </w:tr>
      <w:tr w:rsidR="009E7236" w:rsidRPr="00E12FD2" w14:paraId="53314C97" w14:textId="77777777" w:rsidTr="009E72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6A495A" w14:textId="77777777" w:rsidR="009E7236" w:rsidRPr="00E12FD2" w:rsidRDefault="00000000">
            <w:pPr>
              <w:rPr>
                <w:rFonts w:ascii="Arial" w:hAnsi="Arial" w:cs="Arial"/>
              </w:rPr>
            </w:pPr>
            <w:r w:rsidRPr="00E12FD2">
              <w:rPr>
                <w:rFonts w:ascii="Arial" w:hAnsi="Arial" w:cs="Arial"/>
              </w:rPr>
              <w:t>Longitud de red (km)</w:t>
            </w:r>
          </w:p>
        </w:tc>
        <w:tc>
          <w:tcPr>
            <w:tcW w:w="2880" w:type="dxa"/>
          </w:tcPr>
          <w:p w14:paraId="4A8CD145" w14:textId="77777777" w:rsidR="009E7236" w:rsidRPr="00E12FD2"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12FD2">
              <w:rPr>
                <w:rFonts w:ascii="Arial" w:hAnsi="Arial" w:cs="Arial"/>
              </w:rPr>
              <w:t>26.93</w:t>
            </w:r>
          </w:p>
        </w:tc>
        <w:tc>
          <w:tcPr>
            <w:tcW w:w="2880" w:type="dxa"/>
          </w:tcPr>
          <w:p w14:paraId="1745288C" w14:textId="77777777" w:rsidR="009E7236" w:rsidRPr="00E12FD2"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12FD2">
              <w:rPr>
                <w:rFonts w:ascii="Arial" w:hAnsi="Arial" w:cs="Arial"/>
              </w:rPr>
              <w:t>227.52</w:t>
            </w:r>
          </w:p>
        </w:tc>
      </w:tr>
      <w:tr w:rsidR="009E7236" w:rsidRPr="00E12FD2" w14:paraId="0EB82181" w14:textId="77777777" w:rsidTr="009E72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540C82" w14:textId="77777777" w:rsidR="009E7236" w:rsidRPr="00E12FD2" w:rsidRDefault="00000000">
            <w:pPr>
              <w:rPr>
                <w:rFonts w:ascii="Arial" w:hAnsi="Arial" w:cs="Arial"/>
                <w:lang w:val="es-CO"/>
              </w:rPr>
            </w:pPr>
            <w:r w:rsidRPr="00E12FD2">
              <w:rPr>
                <w:rFonts w:ascii="Arial" w:hAnsi="Arial" w:cs="Arial"/>
                <w:lang w:val="es-CO"/>
              </w:rPr>
              <w:t>Longitud prom. de segmento (m)</w:t>
            </w:r>
          </w:p>
        </w:tc>
        <w:tc>
          <w:tcPr>
            <w:tcW w:w="2880" w:type="dxa"/>
          </w:tcPr>
          <w:p w14:paraId="24708DED" w14:textId="77777777" w:rsidR="009E7236" w:rsidRPr="00E12FD2"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12FD2">
              <w:rPr>
                <w:rFonts w:ascii="Arial" w:hAnsi="Arial" w:cs="Arial"/>
              </w:rPr>
              <w:t>41.6</w:t>
            </w:r>
          </w:p>
        </w:tc>
        <w:tc>
          <w:tcPr>
            <w:tcW w:w="2880" w:type="dxa"/>
          </w:tcPr>
          <w:p w14:paraId="0D018781" w14:textId="77777777" w:rsidR="009E7236" w:rsidRPr="00E12FD2"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12FD2">
              <w:rPr>
                <w:rFonts w:ascii="Arial" w:hAnsi="Arial" w:cs="Arial"/>
              </w:rPr>
              <w:t>34.8</w:t>
            </w:r>
          </w:p>
        </w:tc>
      </w:tr>
      <w:tr w:rsidR="009E7236" w:rsidRPr="00E12FD2" w14:paraId="57831A77" w14:textId="77777777" w:rsidTr="009E72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A09D6" w14:textId="77777777" w:rsidR="009E7236" w:rsidRPr="00E12FD2" w:rsidRDefault="00000000">
            <w:pPr>
              <w:rPr>
                <w:rFonts w:ascii="Arial" w:hAnsi="Arial" w:cs="Arial"/>
                <w:lang w:val="es-CO"/>
              </w:rPr>
            </w:pPr>
            <w:r w:rsidRPr="00E12FD2">
              <w:rPr>
                <w:rFonts w:ascii="Arial" w:hAnsi="Arial" w:cs="Arial"/>
                <w:lang w:val="es-CO"/>
              </w:rPr>
              <w:t>Densidad de calle (km/km²)</w:t>
            </w:r>
          </w:p>
        </w:tc>
        <w:tc>
          <w:tcPr>
            <w:tcW w:w="2880" w:type="dxa"/>
          </w:tcPr>
          <w:p w14:paraId="55882484" w14:textId="77777777" w:rsidR="009E7236" w:rsidRPr="00E12FD2"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12FD2">
              <w:rPr>
                <w:rFonts w:ascii="Arial" w:hAnsi="Arial" w:cs="Arial"/>
              </w:rPr>
              <w:t>71.38</w:t>
            </w:r>
          </w:p>
        </w:tc>
        <w:tc>
          <w:tcPr>
            <w:tcW w:w="2880" w:type="dxa"/>
          </w:tcPr>
          <w:p w14:paraId="62EDCA9F" w14:textId="77777777" w:rsidR="009E7236" w:rsidRPr="00E12FD2"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12FD2">
              <w:rPr>
                <w:rFonts w:ascii="Arial" w:hAnsi="Arial" w:cs="Arial"/>
              </w:rPr>
              <w:t>78.35</w:t>
            </w:r>
          </w:p>
        </w:tc>
      </w:tr>
      <w:tr w:rsidR="009E7236" w:rsidRPr="00E12FD2" w14:paraId="3EF4FDEE" w14:textId="77777777" w:rsidTr="009E723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9B25DD" w14:textId="77777777" w:rsidR="009E7236" w:rsidRPr="00E12FD2" w:rsidRDefault="00000000">
            <w:pPr>
              <w:rPr>
                <w:rFonts w:ascii="Arial" w:hAnsi="Arial" w:cs="Arial"/>
                <w:lang w:val="es-CO"/>
              </w:rPr>
            </w:pPr>
            <w:r w:rsidRPr="00E12FD2">
              <w:rPr>
                <w:rFonts w:ascii="Arial" w:hAnsi="Arial" w:cs="Arial"/>
                <w:sz w:val="18"/>
                <w:szCs w:val="18"/>
                <w:lang w:val="es-CO"/>
              </w:rPr>
              <w:t>Densidad de intersecciones (</w:t>
            </w:r>
            <w:proofErr w:type="spellStart"/>
            <w:r w:rsidRPr="00E12FD2">
              <w:rPr>
                <w:rFonts w:ascii="Arial" w:hAnsi="Arial" w:cs="Arial"/>
                <w:sz w:val="18"/>
                <w:szCs w:val="18"/>
                <w:lang w:val="es-CO"/>
              </w:rPr>
              <w:t>int</w:t>
            </w:r>
            <w:proofErr w:type="spellEnd"/>
            <w:r w:rsidRPr="00E12FD2">
              <w:rPr>
                <w:rFonts w:ascii="Arial" w:hAnsi="Arial" w:cs="Arial"/>
                <w:sz w:val="18"/>
                <w:szCs w:val="18"/>
                <w:lang w:val="es-CO"/>
              </w:rPr>
              <w:t>/km²)</w:t>
            </w:r>
          </w:p>
        </w:tc>
        <w:tc>
          <w:tcPr>
            <w:tcW w:w="2880" w:type="dxa"/>
          </w:tcPr>
          <w:p w14:paraId="6A0878EF" w14:textId="77777777" w:rsidR="009E7236" w:rsidRPr="00E12FD2"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12FD2">
              <w:rPr>
                <w:rFonts w:ascii="Arial" w:hAnsi="Arial" w:cs="Arial"/>
              </w:rPr>
              <w:t>617</w:t>
            </w:r>
          </w:p>
        </w:tc>
        <w:tc>
          <w:tcPr>
            <w:tcW w:w="2880" w:type="dxa"/>
          </w:tcPr>
          <w:p w14:paraId="62144702" w14:textId="77777777" w:rsidR="009E7236" w:rsidRPr="00E12FD2"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12FD2">
              <w:rPr>
                <w:rFonts w:ascii="Arial" w:hAnsi="Arial" w:cs="Arial"/>
              </w:rPr>
              <w:t>777</w:t>
            </w:r>
          </w:p>
        </w:tc>
      </w:tr>
    </w:tbl>
    <w:p w14:paraId="57BE6402" w14:textId="77777777" w:rsidR="009E7236" w:rsidRPr="00E12FD2" w:rsidRDefault="00000000">
      <w:pPr>
        <w:spacing w:after="160"/>
        <w:jc w:val="both"/>
        <w:rPr>
          <w:rFonts w:ascii="Arial" w:hAnsi="Arial" w:cs="Arial"/>
          <w:lang w:val="es-CO"/>
        </w:rPr>
      </w:pPr>
      <w:r w:rsidRPr="00E12FD2">
        <w:rPr>
          <w:rFonts w:ascii="Arial" w:hAnsi="Arial" w:cs="Arial"/>
          <w:lang w:val="es-CO"/>
        </w:rPr>
        <w:t xml:space="preserve">En síntesis, el Barrio Obrero presenta una densidad de intersecciones de 617 </w:t>
      </w:r>
      <w:proofErr w:type="spellStart"/>
      <w:r w:rsidRPr="00E12FD2">
        <w:rPr>
          <w:rFonts w:ascii="Arial" w:hAnsi="Arial" w:cs="Arial"/>
          <w:lang w:val="es-CO"/>
        </w:rPr>
        <w:t>int</w:t>
      </w:r>
      <w:proofErr w:type="spellEnd"/>
      <w:r w:rsidRPr="00E12FD2">
        <w:rPr>
          <w:rFonts w:ascii="Arial" w:hAnsi="Arial" w:cs="Arial"/>
          <w:lang w:val="es-CO"/>
        </w:rPr>
        <w:t xml:space="preserve">/km² y una densidad de calle de 71.38 km/km², valores propios de una trama urbana consolidada y caminable, muy por encima del umbral de salud pública (~100 </w:t>
      </w:r>
      <w:proofErr w:type="spellStart"/>
      <w:r w:rsidRPr="00E12FD2">
        <w:rPr>
          <w:rFonts w:ascii="Arial" w:hAnsi="Arial" w:cs="Arial"/>
          <w:lang w:val="es-CO"/>
        </w:rPr>
        <w:t>int</w:t>
      </w:r>
      <w:proofErr w:type="spellEnd"/>
      <w:r w:rsidRPr="00E12FD2">
        <w:rPr>
          <w:rFonts w:ascii="Arial" w:hAnsi="Arial" w:cs="Arial"/>
          <w:lang w:val="es-CO"/>
        </w:rPr>
        <w:t xml:space="preserve">/km²). La Comuna 9 es algo más densa (777 </w:t>
      </w:r>
      <w:proofErr w:type="spellStart"/>
      <w:r w:rsidRPr="00E12FD2">
        <w:rPr>
          <w:rFonts w:ascii="Arial" w:hAnsi="Arial" w:cs="Arial"/>
          <w:lang w:val="es-CO"/>
        </w:rPr>
        <w:t>int</w:t>
      </w:r>
      <w:proofErr w:type="spellEnd"/>
      <w:r w:rsidRPr="00E12FD2">
        <w:rPr>
          <w:rFonts w:ascii="Arial" w:hAnsi="Arial" w:cs="Arial"/>
          <w:lang w:val="es-CO"/>
        </w:rPr>
        <w:t>/km²) y con tramos más cortos, lo que ubica al barrio como una zona bien conectada dentro de un contexto comunal favorable para caminar.</w:t>
      </w:r>
    </w:p>
    <w:p w14:paraId="3E0F84AE" w14:textId="77777777" w:rsidR="009E7236" w:rsidRPr="00E12FD2" w:rsidRDefault="00000000">
      <w:pPr>
        <w:pStyle w:val="Ttulo1"/>
        <w:rPr>
          <w:rFonts w:ascii="Arial" w:hAnsi="Arial" w:cs="Arial"/>
          <w:lang w:val="es-CO"/>
        </w:rPr>
      </w:pPr>
      <w:r w:rsidRPr="00E12FD2">
        <w:rPr>
          <w:rFonts w:ascii="Arial" w:hAnsi="Arial" w:cs="Arial"/>
          <w:color w:val="1B4F8A"/>
          <w:lang w:val="es-CO"/>
        </w:rPr>
        <w:t>Resultados gráficos</w:t>
      </w:r>
    </w:p>
    <w:p w14:paraId="7461ECE3" w14:textId="02140919" w:rsidR="009E7236" w:rsidRPr="00E12FD2" w:rsidRDefault="00000000">
      <w:pPr>
        <w:spacing w:after="160"/>
        <w:jc w:val="both"/>
        <w:rPr>
          <w:rFonts w:ascii="Arial" w:hAnsi="Arial" w:cs="Arial"/>
          <w:lang w:val="es-CO"/>
        </w:rPr>
      </w:pPr>
      <w:r w:rsidRPr="00E12FD2">
        <w:rPr>
          <w:rFonts w:ascii="Arial" w:hAnsi="Arial" w:cs="Arial"/>
          <w:lang w:val="es-CO"/>
        </w:rPr>
        <w:t xml:space="preserve">A </w:t>
      </w:r>
      <w:r w:rsidR="000E40AA" w:rsidRPr="00E12FD2">
        <w:rPr>
          <w:rFonts w:ascii="Arial" w:hAnsi="Arial" w:cs="Arial"/>
          <w:lang w:val="es-CO"/>
        </w:rPr>
        <w:t>continuación,</w:t>
      </w:r>
      <w:r w:rsidRPr="00E12FD2">
        <w:rPr>
          <w:rFonts w:ascii="Arial" w:hAnsi="Arial" w:cs="Arial"/>
          <w:lang w:val="es-CO"/>
        </w:rPr>
        <w:t xml:space="preserve"> se presentan los gráficos de la línea base. Cada uno incluye una breve nota que explica qué observar y por qué es importante.</w:t>
      </w:r>
    </w:p>
    <w:p w14:paraId="6BC9ACF5" w14:textId="77777777" w:rsidR="009E7236" w:rsidRPr="00E12FD2" w:rsidRDefault="00000000">
      <w:pPr>
        <w:pStyle w:val="Ttulo2"/>
        <w:rPr>
          <w:rFonts w:ascii="Arial" w:hAnsi="Arial" w:cs="Arial"/>
          <w:lang w:val="es-CO"/>
        </w:rPr>
      </w:pPr>
      <w:r w:rsidRPr="00E12FD2">
        <w:rPr>
          <w:rFonts w:ascii="Arial" w:hAnsi="Arial" w:cs="Arial"/>
          <w:color w:val="2E7D32"/>
          <w:lang w:val="es-CO"/>
        </w:rPr>
        <w:t>Red peatonal — línea base</w:t>
      </w:r>
    </w:p>
    <w:p w14:paraId="32FD33CF" w14:textId="77777777" w:rsidR="009E7236" w:rsidRPr="00E12FD2" w:rsidRDefault="00000000">
      <w:pPr>
        <w:spacing w:after="160"/>
        <w:jc w:val="both"/>
        <w:rPr>
          <w:rFonts w:ascii="Arial" w:hAnsi="Arial" w:cs="Arial"/>
          <w:lang w:val="es-CO"/>
        </w:rPr>
      </w:pPr>
      <w:r w:rsidRPr="00E12FD2">
        <w:rPr>
          <w:rFonts w:ascii="Arial" w:hAnsi="Arial" w:cs="Arial"/>
          <w:lang w:val="es-CO"/>
        </w:rPr>
        <w:t>Este mapa muestra la red peatonal del barrio tal como se descarga de OpenStreetMap. Cada línea es un tramo caminable y cada punto una intersección. Nos sirve como «fotografía» inicial de cómo está conectado el barrio para quien se desplaza a pie, y es la base sobre la que se calculan todas las métricas de este informe.</w:t>
      </w:r>
    </w:p>
    <w:p w14:paraId="36B948F8" w14:textId="1675BAB1" w:rsidR="009E7236" w:rsidRPr="00E12FD2" w:rsidRDefault="00000000">
      <w:pPr>
        <w:jc w:val="center"/>
        <w:rPr>
          <w:rFonts w:ascii="Arial" w:hAnsi="Arial" w:cs="Arial"/>
        </w:rPr>
      </w:pPr>
      <w:r w:rsidRPr="00E12FD2">
        <w:rPr>
          <w:rFonts w:ascii="Arial" w:hAnsi="Arial" w:cs="Arial"/>
          <w:noProof/>
        </w:rPr>
        <w:lastRenderedPageBreak/>
        <w:drawing>
          <wp:inline distT="0" distB="0" distL="0" distR="0" wp14:anchorId="6E1A9546" wp14:editId="581D0961">
            <wp:extent cx="900915" cy="167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_01_red_peatonal_barrio_obrero.png"/>
                    <pic:cNvPicPr/>
                  </pic:nvPicPr>
                  <pic:blipFill>
                    <a:blip r:embed="rId6"/>
                    <a:stretch>
                      <a:fillRect/>
                    </a:stretch>
                  </pic:blipFill>
                  <pic:spPr>
                    <a:xfrm>
                      <a:off x="0" y="0"/>
                      <a:ext cx="906124" cy="1686092"/>
                    </a:xfrm>
                    <a:prstGeom prst="rect">
                      <a:avLst/>
                    </a:prstGeom>
                  </pic:spPr>
                </pic:pic>
              </a:graphicData>
            </a:graphic>
          </wp:inline>
        </w:drawing>
      </w:r>
      <w:r w:rsidR="00A95E02" w:rsidRPr="00E12FD2">
        <w:rPr>
          <w:rFonts w:ascii="Arial" w:hAnsi="Arial" w:cs="Arial"/>
          <w:noProof/>
        </w:rPr>
        <w:t xml:space="preserve"> </w:t>
      </w:r>
    </w:p>
    <w:p w14:paraId="7D31117B" w14:textId="77777777" w:rsidR="009E7236" w:rsidRPr="00E12FD2" w:rsidRDefault="00000000">
      <w:pPr>
        <w:pStyle w:val="Ttulo2"/>
        <w:rPr>
          <w:rFonts w:ascii="Arial" w:hAnsi="Arial" w:cs="Arial"/>
          <w:lang w:val="es-CO"/>
        </w:rPr>
      </w:pPr>
      <w:r w:rsidRPr="00E12FD2">
        <w:rPr>
          <w:rFonts w:ascii="Arial" w:hAnsi="Arial" w:cs="Arial"/>
          <w:color w:val="2E7D32"/>
          <w:lang w:val="es-CO"/>
        </w:rPr>
        <w:t>Densidad de intersecciones y malla vial</w:t>
      </w:r>
    </w:p>
    <w:p w14:paraId="5E788F26" w14:textId="77777777" w:rsidR="009E7236" w:rsidRPr="00E12FD2" w:rsidRDefault="00000000">
      <w:pPr>
        <w:spacing w:after="160"/>
        <w:jc w:val="both"/>
        <w:rPr>
          <w:rFonts w:ascii="Arial" w:hAnsi="Arial" w:cs="Arial"/>
          <w:lang w:val="es-CO"/>
        </w:rPr>
      </w:pPr>
      <w:r w:rsidRPr="00E12FD2">
        <w:rPr>
          <w:rFonts w:ascii="Arial" w:hAnsi="Arial" w:cs="Arial"/>
          <w:lang w:val="es-CO"/>
        </w:rPr>
        <w:t>Aquí presentamos un mapa de calor que resalta las zonas con mayor concentración de intersecciones. A la izquierda se ve sobre el contorno del barrio y a la derecha con los ejes viales oficiales (IDESC) de fondo. Las áreas más cálidas indican mallas más densas y, por tanto, más opciones de recorrido para el peatón.</w:t>
      </w:r>
    </w:p>
    <w:p w14:paraId="52187B32" w14:textId="3D11630D" w:rsidR="009E7236" w:rsidRPr="00E12FD2" w:rsidRDefault="00000000">
      <w:pPr>
        <w:jc w:val="center"/>
        <w:rPr>
          <w:rFonts w:ascii="Arial" w:hAnsi="Arial" w:cs="Arial"/>
        </w:rPr>
      </w:pPr>
      <w:r w:rsidRPr="00E12FD2">
        <w:rPr>
          <w:rFonts w:ascii="Arial" w:hAnsi="Arial" w:cs="Arial"/>
          <w:noProof/>
        </w:rPr>
        <w:drawing>
          <wp:inline distT="0" distB="0" distL="0" distR="0" wp14:anchorId="289529B9" wp14:editId="7D6E5A4C">
            <wp:extent cx="5669280" cy="34835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_02_heatmap_intersecciones_barrio_obrero.png"/>
                    <pic:cNvPicPr/>
                  </pic:nvPicPr>
                  <pic:blipFill>
                    <a:blip r:embed="rId7"/>
                    <a:stretch>
                      <a:fillRect/>
                    </a:stretch>
                  </pic:blipFill>
                  <pic:spPr>
                    <a:xfrm>
                      <a:off x="0" y="0"/>
                      <a:ext cx="5669280" cy="3483510"/>
                    </a:xfrm>
                    <a:prstGeom prst="rect">
                      <a:avLst/>
                    </a:prstGeom>
                  </pic:spPr>
                </pic:pic>
              </a:graphicData>
            </a:graphic>
          </wp:inline>
        </w:drawing>
      </w:r>
    </w:p>
    <w:p w14:paraId="5F11CD27" w14:textId="48F82C6E" w:rsidR="00E6799E" w:rsidRPr="00E12FD2" w:rsidRDefault="00E6799E">
      <w:pPr>
        <w:jc w:val="center"/>
        <w:rPr>
          <w:rFonts w:ascii="Arial" w:hAnsi="Arial" w:cs="Arial"/>
        </w:rPr>
      </w:pPr>
    </w:p>
    <w:p w14:paraId="73CD5AF0" w14:textId="2826A75E" w:rsidR="00E6799E" w:rsidRPr="00E12FD2" w:rsidRDefault="00E6799E">
      <w:pPr>
        <w:jc w:val="center"/>
        <w:rPr>
          <w:rFonts w:ascii="Arial" w:hAnsi="Arial" w:cs="Arial"/>
        </w:rPr>
      </w:pPr>
      <w:r w:rsidRPr="00E12FD2">
        <w:rPr>
          <w:rFonts w:ascii="Arial" w:hAnsi="Arial" w:cs="Arial"/>
        </w:rPr>
        <w:lastRenderedPageBreak/>
        <w:drawing>
          <wp:inline distT="0" distB="0" distL="0" distR="0" wp14:anchorId="6DEF967D" wp14:editId="12A97841">
            <wp:extent cx="3498850" cy="4192316"/>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01450" cy="4195431"/>
                    </a:xfrm>
                    <a:prstGeom prst="rect">
                      <a:avLst/>
                    </a:prstGeom>
                  </pic:spPr>
                </pic:pic>
              </a:graphicData>
            </a:graphic>
          </wp:inline>
        </w:drawing>
      </w:r>
    </w:p>
    <w:p w14:paraId="103B1791" w14:textId="77777777" w:rsidR="009E7236" w:rsidRPr="00E12FD2" w:rsidRDefault="00000000">
      <w:pPr>
        <w:pStyle w:val="Ttulo2"/>
        <w:rPr>
          <w:rFonts w:ascii="Arial" w:hAnsi="Arial" w:cs="Arial"/>
          <w:lang w:val="es-CO"/>
        </w:rPr>
      </w:pPr>
      <w:r w:rsidRPr="00E12FD2">
        <w:rPr>
          <w:rFonts w:ascii="Arial" w:hAnsi="Arial" w:cs="Arial"/>
          <w:color w:val="2E7D32"/>
          <w:lang w:val="es-CO"/>
        </w:rPr>
        <w:t>Distribución de la longitud de segmentos</w:t>
      </w:r>
    </w:p>
    <w:p w14:paraId="4603C674" w14:textId="77777777" w:rsidR="009E7236" w:rsidRPr="00E12FD2" w:rsidRDefault="00000000">
      <w:pPr>
        <w:spacing w:after="160"/>
        <w:jc w:val="both"/>
        <w:rPr>
          <w:rFonts w:ascii="Arial" w:hAnsi="Arial" w:cs="Arial"/>
          <w:lang w:val="es-CO"/>
        </w:rPr>
      </w:pPr>
      <w:r w:rsidRPr="00E12FD2">
        <w:rPr>
          <w:rFonts w:ascii="Arial" w:hAnsi="Arial" w:cs="Arial"/>
          <w:lang w:val="es-CO"/>
        </w:rPr>
        <w:t>Este histograma resume qué tan largos son los tramos de calle del barrio. En general, los tramos cortos favorecen la caminabilidad porque ofrecen más cruces y rutas alternativas. La media y la mediana marcadas ayudan a ubicar el «tramo típico» de la zona.</w:t>
      </w:r>
    </w:p>
    <w:p w14:paraId="19E13380" w14:textId="77777777" w:rsidR="009E7236" w:rsidRPr="00E12FD2" w:rsidRDefault="00000000">
      <w:pPr>
        <w:jc w:val="center"/>
        <w:rPr>
          <w:rFonts w:ascii="Arial" w:hAnsi="Arial" w:cs="Arial"/>
        </w:rPr>
      </w:pPr>
      <w:r w:rsidRPr="00E12FD2">
        <w:rPr>
          <w:rFonts w:ascii="Arial" w:hAnsi="Arial" w:cs="Arial"/>
          <w:noProof/>
        </w:rPr>
        <w:drawing>
          <wp:inline distT="0" distB="0" distL="0" distR="0" wp14:anchorId="0D8B0961" wp14:editId="03C27A1E">
            <wp:extent cx="3651250" cy="2171912"/>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_03_histograma_segmentos_barrio_obrero.png"/>
                    <pic:cNvPicPr/>
                  </pic:nvPicPr>
                  <pic:blipFill>
                    <a:blip r:embed="rId9"/>
                    <a:stretch>
                      <a:fillRect/>
                    </a:stretch>
                  </pic:blipFill>
                  <pic:spPr>
                    <a:xfrm>
                      <a:off x="0" y="0"/>
                      <a:ext cx="3660279" cy="2177283"/>
                    </a:xfrm>
                    <a:prstGeom prst="rect">
                      <a:avLst/>
                    </a:prstGeom>
                  </pic:spPr>
                </pic:pic>
              </a:graphicData>
            </a:graphic>
          </wp:inline>
        </w:drawing>
      </w:r>
    </w:p>
    <w:p w14:paraId="6F81636E" w14:textId="77777777" w:rsidR="009E7236" w:rsidRPr="00E12FD2" w:rsidRDefault="00000000">
      <w:pPr>
        <w:pStyle w:val="Ttulo2"/>
        <w:rPr>
          <w:rFonts w:ascii="Arial" w:hAnsi="Arial" w:cs="Arial"/>
          <w:lang w:val="es-CO"/>
        </w:rPr>
      </w:pPr>
      <w:r w:rsidRPr="00E12FD2">
        <w:rPr>
          <w:rFonts w:ascii="Arial" w:hAnsi="Arial" w:cs="Arial"/>
          <w:color w:val="2E7D32"/>
          <w:lang w:val="es-CO"/>
        </w:rPr>
        <w:lastRenderedPageBreak/>
        <w:t>Dispersión de la longitud de segmentos</w:t>
      </w:r>
    </w:p>
    <w:p w14:paraId="51D05A10" w14:textId="77777777" w:rsidR="009E7236" w:rsidRPr="00E12FD2" w:rsidRDefault="00000000">
      <w:pPr>
        <w:spacing w:after="160"/>
        <w:jc w:val="both"/>
        <w:rPr>
          <w:rFonts w:ascii="Arial" w:hAnsi="Arial" w:cs="Arial"/>
          <w:lang w:val="es-CO"/>
        </w:rPr>
      </w:pPr>
      <w:r w:rsidRPr="00E12FD2">
        <w:rPr>
          <w:rFonts w:ascii="Arial" w:hAnsi="Arial" w:cs="Arial"/>
          <w:lang w:val="es-CO"/>
        </w:rPr>
        <w:t>El diagrama de caja complementa al histograma: muestra la mediana, el rango habitual y los tramos atípicos (muy largos o muy cortos). Es útil para detectar irregularidades en la trama urbana que podrían afectar la experiencia de caminar.</w:t>
      </w:r>
    </w:p>
    <w:p w14:paraId="411BEF41" w14:textId="77777777" w:rsidR="009E7236" w:rsidRPr="00E12FD2" w:rsidRDefault="00000000">
      <w:pPr>
        <w:jc w:val="center"/>
        <w:rPr>
          <w:rFonts w:ascii="Arial" w:hAnsi="Arial" w:cs="Arial"/>
        </w:rPr>
      </w:pPr>
      <w:r w:rsidRPr="00E12FD2">
        <w:rPr>
          <w:rFonts w:ascii="Arial" w:hAnsi="Arial" w:cs="Arial"/>
          <w:noProof/>
        </w:rPr>
        <w:drawing>
          <wp:inline distT="0" distB="0" distL="0" distR="0" wp14:anchorId="7BAD7334" wp14:editId="482990E5">
            <wp:extent cx="5669280" cy="42312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_04_boxplot_segmentos_barrio_obrero.png"/>
                    <pic:cNvPicPr/>
                  </pic:nvPicPr>
                  <pic:blipFill>
                    <a:blip r:embed="rId10"/>
                    <a:stretch>
                      <a:fillRect/>
                    </a:stretch>
                  </pic:blipFill>
                  <pic:spPr>
                    <a:xfrm>
                      <a:off x="0" y="0"/>
                      <a:ext cx="5669280" cy="4231289"/>
                    </a:xfrm>
                    <a:prstGeom prst="rect">
                      <a:avLst/>
                    </a:prstGeom>
                  </pic:spPr>
                </pic:pic>
              </a:graphicData>
            </a:graphic>
          </wp:inline>
        </w:drawing>
      </w:r>
    </w:p>
    <w:p w14:paraId="67B6697A" w14:textId="77777777" w:rsidR="009E7236" w:rsidRPr="00E12FD2" w:rsidRDefault="00000000">
      <w:pPr>
        <w:pStyle w:val="Ttulo2"/>
        <w:rPr>
          <w:rFonts w:ascii="Arial" w:hAnsi="Arial" w:cs="Arial"/>
          <w:lang w:val="es-CO"/>
        </w:rPr>
      </w:pPr>
      <w:r w:rsidRPr="00E12FD2">
        <w:rPr>
          <w:rFonts w:ascii="Arial" w:hAnsi="Arial" w:cs="Arial"/>
          <w:color w:val="2E7D32"/>
          <w:lang w:val="es-CO"/>
        </w:rPr>
        <w:t>Posición morfológica — Barrio Obrero vs Comuna 9</w:t>
      </w:r>
    </w:p>
    <w:p w14:paraId="5BF9577E" w14:textId="77777777" w:rsidR="009E7236" w:rsidRPr="00E12FD2" w:rsidRDefault="00000000">
      <w:pPr>
        <w:spacing w:after="160"/>
        <w:jc w:val="both"/>
        <w:rPr>
          <w:rFonts w:ascii="Arial" w:hAnsi="Arial" w:cs="Arial"/>
          <w:lang w:val="es-CO"/>
        </w:rPr>
      </w:pPr>
      <w:r w:rsidRPr="00E12FD2">
        <w:rPr>
          <w:rFonts w:ascii="Arial" w:hAnsi="Arial" w:cs="Arial"/>
          <w:lang w:val="es-CO"/>
        </w:rPr>
        <w:t xml:space="preserve">Este gráfico ubica al barrio según dos rasgos clave: la longitud promedio de segmento y la densidad de intersecciones, y lo compara con la Comuna 9. Las bandas de color señalan rangos de referencia de la literatura: la franja verde (400–700 </w:t>
      </w:r>
      <w:proofErr w:type="spellStart"/>
      <w:r w:rsidRPr="00E12FD2">
        <w:rPr>
          <w:rFonts w:ascii="Arial" w:hAnsi="Arial" w:cs="Arial"/>
          <w:lang w:val="es-CO"/>
        </w:rPr>
        <w:t>int</w:t>
      </w:r>
      <w:proofErr w:type="spellEnd"/>
      <w:r w:rsidRPr="00E12FD2">
        <w:rPr>
          <w:rFonts w:ascii="Arial" w:hAnsi="Arial" w:cs="Arial"/>
          <w:lang w:val="es-CO"/>
        </w:rPr>
        <w:t xml:space="preserve">/km²) corresponde a tramas urbanas caminables y la línea roja (~100 </w:t>
      </w:r>
      <w:proofErr w:type="spellStart"/>
      <w:r w:rsidRPr="00E12FD2">
        <w:rPr>
          <w:rFonts w:ascii="Arial" w:hAnsi="Arial" w:cs="Arial"/>
          <w:lang w:val="es-CO"/>
        </w:rPr>
        <w:t>int</w:t>
      </w:r>
      <w:proofErr w:type="spellEnd"/>
      <w:r w:rsidRPr="00E12FD2">
        <w:rPr>
          <w:rFonts w:ascii="Arial" w:hAnsi="Arial" w:cs="Arial"/>
          <w:lang w:val="es-CO"/>
        </w:rPr>
        <w:t>/km²) es el umbral asociado a beneficios de salud pública.</w:t>
      </w:r>
    </w:p>
    <w:p w14:paraId="079E6561" w14:textId="77777777" w:rsidR="009E7236" w:rsidRPr="00E12FD2" w:rsidRDefault="00000000">
      <w:pPr>
        <w:jc w:val="center"/>
        <w:rPr>
          <w:rFonts w:ascii="Arial" w:hAnsi="Arial" w:cs="Arial"/>
        </w:rPr>
      </w:pPr>
      <w:r w:rsidRPr="00E12FD2">
        <w:rPr>
          <w:rFonts w:ascii="Arial" w:hAnsi="Arial" w:cs="Arial"/>
          <w:noProof/>
        </w:rPr>
        <w:lastRenderedPageBreak/>
        <w:drawing>
          <wp:inline distT="0" distB="0" distL="0" distR="0" wp14:anchorId="7DA87688" wp14:editId="6A00E45D">
            <wp:extent cx="4394200" cy="3053936"/>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_05_scatter_conectividad_barrio_obrero.png"/>
                    <pic:cNvPicPr/>
                  </pic:nvPicPr>
                  <pic:blipFill>
                    <a:blip r:embed="rId11"/>
                    <a:stretch>
                      <a:fillRect/>
                    </a:stretch>
                  </pic:blipFill>
                  <pic:spPr>
                    <a:xfrm>
                      <a:off x="0" y="0"/>
                      <a:ext cx="4399187" cy="3057402"/>
                    </a:xfrm>
                    <a:prstGeom prst="rect">
                      <a:avLst/>
                    </a:prstGeom>
                  </pic:spPr>
                </pic:pic>
              </a:graphicData>
            </a:graphic>
          </wp:inline>
        </w:drawing>
      </w:r>
    </w:p>
    <w:p w14:paraId="62A3DD3A" w14:textId="77777777" w:rsidR="009E7236" w:rsidRPr="00E12FD2" w:rsidRDefault="00000000">
      <w:pPr>
        <w:pStyle w:val="Ttulo2"/>
        <w:rPr>
          <w:rFonts w:ascii="Arial" w:hAnsi="Arial" w:cs="Arial"/>
          <w:lang w:val="es-CO"/>
        </w:rPr>
      </w:pPr>
      <w:r w:rsidRPr="00E12FD2">
        <w:rPr>
          <w:rFonts w:ascii="Arial" w:hAnsi="Arial" w:cs="Arial"/>
          <w:color w:val="2E7D32"/>
          <w:lang w:val="es-CO"/>
        </w:rPr>
        <w:t>Tabla resumen de métricas urbanas</w:t>
      </w:r>
    </w:p>
    <w:p w14:paraId="436AF39B" w14:textId="77777777" w:rsidR="009E7236" w:rsidRPr="00E12FD2" w:rsidRDefault="00000000">
      <w:pPr>
        <w:spacing w:after="160"/>
        <w:jc w:val="both"/>
        <w:rPr>
          <w:rFonts w:ascii="Arial" w:hAnsi="Arial" w:cs="Arial"/>
          <w:lang w:val="es-CO"/>
        </w:rPr>
      </w:pPr>
      <w:r w:rsidRPr="00E12FD2">
        <w:rPr>
          <w:rFonts w:ascii="Arial" w:hAnsi="Arial" w:cs="Arial"/>
          <w:lang w:val="es-CO"/>
        </w:rPr>
        <w:t>Esta tabla reúne, en un solo vistazo, los indicadores más importantes de caminabilidad del barrio. Sirve como ficha técnica de la línea base y facilita el seguimiento en mediciones futuras.</w:t>
      </w:r>
    </w:p>
    <w:p w14:paraId="79104C9C" w14:textId="77777777" w:rsidR="009E7236" w:rsidRPr="00E12FD2" w:rsidRDefault="00000000">
      <w:pPr>
        <w:jc w:val="center"/>
        <w:rPr>
          <w:rFonts w:ascii="Arial" w:hAnsi="Arial" w:cs="Arial"/>
        </w:rPr>
      </w:pPr>
      <w:r w:rsidRPr="00E12FD2">
        <w:rPr>
          <w:rFonts w:ascii="Arial" w:hAnsi="Arial" w:cs="Arial"/>
          <w:noProof/>
        </w:rPr>
        <w:drawing>
          <wp:inline distT="0" distB="0" distL="0" distR="0" wp14:anchorId="7C693CDD" wp14:editId="6C50D654">
            <wp:extent cx="5669280" cy="27597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_06_tabla_metricas_barrio_obrero.png"/>
                    <pic:cNvPicPr/>
                  </pic:nvPicPr>
                  <pic:blipFill>
                    <a:blip r:embed="rId12"/>
                    <a:stretch>
                      <a:fillRect/>
                    </a:stretch>
                  </pic:blipFill>
                  <pic:spPr>
                    <a:xfrm>
                      <a:off x="0" y="0"/>
                      <a:ext cx="5669280" cy="2759763"/>
                    </a:xfrm>
                    <a:prstGeom prst="rect">
                      <a:avLst/>
                    </a:prstGeom>
                  </pic:spPr>
                </pic:pic>
              </a:graphicData>
            </a:graphic>
          </wp:inline>
        </w:drawing>
      </w:r>
    </w:p>
    <w:p w14:paraId="0157EB92" w14:textId="77777777" w:rsidR="009E7236" w:rsidRPr="00E12FD2" w:rsidRDefault="00000000">
      <w:pPr>
        <w:pStyle w:val="Ttulo2"/>
        <w:rPr>
          <w:rFonts w:ascii="Arial" w:hAnsi="Arial" w:cs="Arial"/>
          <w:lang w:val="es-CO"/>
        </w:rPr>
      </w:pPr>
      <w:r w:rsidRPr="00E12FD2">
        <w:rPr>
          <w:rFonts w:ascii="Arial" w:hAnsi="Arial" w:cs="Arial"/>
          <w:color w:val="2E7D32"/>
          <w:lang w:val="es-CO"/>
        </w:rPr>
        <w:t>Panel de métricas de caminabilidad</w:t>
      </w:r>
    </w:p>
    <w:p w14:paraId="24F4ECEC" w14:textId="77777777" w:rsidR="009E7236" w:rsidRPr="00E12FD2" w:rsidRDefault="00000000">
      <w:pPr>
        <w:spacing w:after="160"/>
        <w:jc w:val="both"/>
        <w:rPr>
          <w:rFonts w:ascii="Arial" w:hAnsi="Arial" w:cs="Arial"/>
          <w:lang w:val="es-CO"/>
        </w:rPr>
      </w:pPr>
      <w:r w:rsidRPr="00E12FD2">
        <w:rPr>
          <w:rFonts w:ascii="Arial" w:hAnsi="Arial" w:cs="Arial"/>
          <w:lang w:val="es-CO"/>
        </w:rPr>
        <w:t>El panel presenta las cinco métricas de caminabilidad del barrio en formato de barras, pensado para una lectura rápida y para acompañar presentaciones o resúmenes ejecutivos.</w:t>
      </w:r>
    </w:p>
    <w:p w14:paraId="6331EC01" w14:textId="77777777" w:rsidR="009E7236" w:rsidRPr="00E12FD2" w:rsidRDefault="00000000">
      <w:pPr>
        <w:jc w:val="center"/>
        <w:rPr>
          <w:rFonts w:ascii="Arial" w:hAnsi="Arial" w:cs="Arial"/>
        </w:rPr>
      </w:pPr>
      <w:r w:rsidRPr="00E12FD2">
        <w:rPr>
          <w:rFonts w:ascii="Arial" w:hAnsi="Arial" w:cs="Arial"/>
          <w:noProof/>
        </w:rPr>
        <w:lastRenderedPageBreak/>
        <w:drawing>
          <wp:inline distT="0" distB="0" distL="0" distR="0" wp14:anchorId="743B5205" wp14:editId="22C66D40">
            <wp:extent cx="5669280" cy="16279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_metricas_caminabilidad_barrio_obrero.png"/>
                    <pic:cNvPicPr/>
                  </pic:nvPicPr>
                  <pic:blipFill>
                    <a:blip r:embed="rId13"/>
                    <a:stretch>
                      <a:fillRect/>
                    </a:stretch>
                  </pic:blipFill>
                  <pic:spPr>
                    <a:xfrm>
                      <a:off x="0" y="0"/>
                      <a:ext cx="5669280" cy="1627939"/>
                    </a:xfrm>
                    <a:prstGeom prst="rect">
                      <a:avLst/>
                    </a:prstGeom>
                  </pic:spPr>
                </pic:pic>
              </a:graphicData>
            </a:graphic>
          </wp:inline>
        </w:drawing>
      </w:r>
    </w:p>
    <w:p w14:paraId="0D37D8A4" w14:textId="77777777" w:rsidR="009E7236" w:rsidRPr="00E12FD2" w:rsidRDefault="00000000">
      <w:pPr>
        <w:pStyle w:val="Ttulo2"/>
        <w:rPr>
          <w:rFonts w:ascii="Arial" w:hAnsi="Arial" w:cs="Arial"/>
          <w:lang w:val="es-CO"/>
        </w:rPr>
      </w:pPr>
      <w:r w:rsidRPr="00E12FD2">
        <w:rPr>
          <w:rFonts w:ascii="Arial" w:hAnsi="Arial" w:cs="Arial"/>
          <w:color w:val="2E7D32"/>
          <w:lang w:val="es-CO"/>
        </w:rPr>
        <w:t>Comparación Barrio Obrero vs Comuna 9</w:t>
      </w:r>
    </w:p>
    <w:p w14:paraId="327EC786" w14:textId="77777777" w:rsidR="009E7236" w:rsidRPr="00E12FD2" w:rsidRDefault="00000000">
      <w:pPr>
        <w:spacing w:after="160"/>
        <w:jc w:val="both"/>
        <w:rPr>
          <w:rFonts w:ascii="Arial" w:hAnsi="Arial" w:cs="Arial"/>
          <w:lang w:val="es-CO"/>
        </w:rPr>
      </w:pPr>
      <w:r w:rsidRPr="00E12FD2">
        <w:rPr>
          <w:rFonts w:ascii="Arial" w:hAnsi="Arial" w:cs="Arial"/>
          <w:lang w:val="es-CO"/>
        </w:rPr>
        <w:t xml:space="preserve">Finalmente, comparamos el barrio con la Comuna 9 que lo contiene. Conviene mirar sobre todo las densidades (km/km² e </w:t>
      </w:r>
      <w:proofErr w:type="spellStart"/>
      <w:r w:rsidRPr="00E12FD2">
        <w:rPr>
          <w:rFonts w:ascii="Arial" w:hAnsi="Arial" w:cs="Arial"/>
          <w:lang w:val="es-CO"/>
        </w:rPr>
        <w:t>int</w:t>
      </w:r>
      <w:proofErr w:type="spellEnd"/>
      <w:r w:rsidRPr="00E12FD2">
        <w:rPr>
          <w:rFonts w:ascii="Arial" w:hAnsi="Arial" w:cs="Arial"/>
          <w:lang w:val="es-CO"/>
        </w:rPr>
        <w:t>/km²), que son comparables entre zonas de distinto tamaño; las cifras absolutas favorecen a la comuna simplemente por su mayor superficie.</w:t>
      </w:r>
    </w:p>
    <w:p w14:paraId="44B91F25" w14:textId="77777777" w:rsidR="009E7236" w:rsidRPr="00E12FD2" w:rsidRDefault="00000000">
      <w:pPr>
        <w:jc w:val="center"/>
        <w:rPr>
          <w:rFonts w:ascii="Arial" w:hAnsi="Arial" w:cs="Arial"/>
        </w:rPr>
      </w:pPr>
      <w:r w:rsidRPr="00E12FD2">
        <w:rPr>
          <w:rFonts w:ascii="Arial" w:hAnsi="Arial" w:cs="Arial"/>
          <w:noProof/>
        </w:rPr>
        <w:drawing>
          <wp:inline distT="0" distB="0" distL="0" distR="0" wp14:anchorId="3159E53A" wp14:editId="60BBA5A7">
            <wp:extent cx="5669280" cy="16311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_comparacion_barrio_obrero_vs_comuna9.png"/>
                    <pic:cNvPicPr/>
                  </pic:nvPicPr>
                  <pic:blipFill>
                    <a:blip r:embed="rId14"/>
                    <a:stretch>
                      <a:fillRect/>
                    </a:stretch>
                  </pic:blipFill>
                  <pic:spPr>
                    <a:xfrm>
                      <a:off x="0" y="0"/>
                      <a:ext cx="5669280" cy="1631106"/>
                    </a:xfrm>
                    <a:prstGeom prst="rect">
                      <a:avLst/>
                    </a:prstGeom>
                  </pic:spPr>
                </pic:pic>
              </a:graphicData>
            </a:graphic>
          </wp:inline>
        </w:drawing>
      </w:r>
    </w:p>
    <w:p w14:paraId="0CECA284" w14:textId="77777777" w:rsidR="009E7236" w:rsidRPr="00E12FD2" w:rsidRDefault="00000000">
      <w:pPr>
        <w:pStyle w:val="Ttulo1"/>
        <w:rPr>
          <w:rFonts w:ascii="Arial" w:hAnsi="Arial" w:cs="Arial"/>
        </w:rPr>
      </w:pPr>
      <w:r w:rsidRPr="00E12FD2">
        <w:rPr>
          <w:rFonts w:ascii="Arial" w:hAnsi="Arial" w:cs="Arial"/>
          <w:color w:val="1B4F8A"/>
        </w:rPr>
        <w:t>Referencias de contexto</w:t>
      </w:r>
    </w:p>
    <w:p w14:paraId="6D234DC9" w14:textId="77777777" w:rsidR="009E7236" w:rsidRPr="00E12FD2" w:rsidRDefault="00000000" w:rsidP="00E12FD2">
      <w:pPr>
        <w:pStyle w:val="Listaconvietas"/>
        <w:jc w:val="both"/>
        <w:rPr>
          <w:rFonts w:ascii="Arial" w:hAnsi="Arial" w:cs="Arial"/>
        </w:rPr>
      </w:pPr>
      <w:r w:rsidRPr="00E12FD2">
        <w:rPr>
          <w:rFonts w:ascii="Arial" w:hAnsi="Arial" w:cs="Arial"/>
        </w:rPr>
        <w:t>US EPA — Estimated Intersection Density of Walkable Roads (EnviroAtlas).</w:t>
      </w:r>
    </w:p>
    <w:p w14:paraId="7E6BFBD2" w14:textId="77777777" w:rsidR="009E7236" w:rsidRPr="00E12FD2" w:rsidRDefault="00000000" w:rsidP="00E12FD2">
      <w:pPr>
        <w:pStyle w:val="Listaconvietas"/>
        <w:jc w:val="both"/>
        <w:rPr>
          <w:rFonts w:ascii="Arial" w:hAnsi="Arial" w:cs="Arial"/>
          <w:lang w:val="es-CO"/>
        </w:rPr>
      </w:pPr>
      <w:r w:rsidRPr="00E12FD2">
        <w:rPr>
          <w:rFonts w:ascii="Arial" w:hAnsi="Arial" w:cs="Arial"/>
          <w:lang w:val="es-CO"/>
        </w:rPr>
        <w:t xml:space="preserve">IPEN </w:t>
      </w:r>
      <w:proofErr w:type="spellStart"/>
      <w:r w:rsidRPr="00E12FD2">
        <w:rPr>
          <w:rFonts w:ascii="Arial" w:hAnsi="Arial" w:cs="Arial"/>
          <w:lang w:val="es-CO"/>
        </w:rPr>
        <w:t>Adult</w:t>
      </w:r>
      <w:proofErr w:type="spellEnd"/>
      <w:r w:rsidRPr="00E12FD2">
        <w:rPr>
          <w:rFonts w:ascii="Arial" w:hAnsi="Arial" w:cs="Arial"/>
          <w:lang w:val="es-CO"/>
        </w:rPr>
        <w:t xml:space="preserve"> </w:t>
      </w:r>
      <w:proofErr w:type="spellStart"/>
      <w:r w:rsidRPr="00E12FD2">
        <w:rPr>
          <w:rFonts w:ascii="Arial" w:hAnsi="Arial" w:cs="Arial"/>
          <w:lang w:val="es-CO"/>
        </w:rPr>
        <w:t>study</w:t>
      </w:r>
      <w:proofErr w:type="spellEnd"/>
      <w:r w:rsidRPr="00E12FD2">
        <w:rPr>
          <w:rFonts w:ascii="Arial" w:hAnsi="Arial" w:cs="Arial"/>
          <w:lang w:val="es-CO"/>
        </w:rPr>
        <w:t xml:space="preserve"> / Universidad de Melbourne — umbral de ~100 intersecciones/km² asociado a mayor actividad física.</w:t>
      </w:r>
    </w:p>
    <w:p w14:paraId="0FA8A566" w14:textId="77777777" w:rsidR="009E7236" w:rsidRPr="00E12FD2" w:rsidRDefault="00000000" w:rsidP="00E12FD2">
      <w:pPr>
        <w:pStyle w:val="Listaconvietas"/>
        <w:jc w:val="both"/>
        <w:rPr>
          <w:rFonts w:ascii="Arial" w:hAnsi="Arial" w:cs="Arial"/>
          <w:lang w:val="es-CO"/>
        </w:rPr>
      </w:pPr>
      <w:r w:rsidRPr="00E12FD2">
        <w:rPr>
          <w:rFonts w:ascii="Arial" w:hAnsi="Arial" w:cs="Arial"/>
          <w:lang w:val="es-CO"/>
        </w:rPr>
        <w:t>Gobierno de Queensland — regulación de barrios caminables (cuadras ≤ 250 m).</w:t>
      </w:r>
    </w:p>
    <w:p w14:paraId="53DDE224" w14:textId="77777777" w:rsidR="009E7236" w:rsidRPr="00E12FD2" w:rsidRDefault="00000000" w:rsidP="00E12FD2">
      <w:pPr>
        <w:pStyle w:val="Listaconvietas"/>
        <w:jc w:val="both"/>
        <w:rPr>
          <w:rFonts w:ascii="Arial" w:hAnsi="Arial" w:cs="Arial"/>
        </w:rPr>
      </w:pPr>
      <w:proofErr w:type="spellStart"/>
      <w:r w:rsidRPr="00E12FD2">
        <w:rPr>
          <w:rFonts w:ascii="Arial" w:hAnsi="Arial" w:cs="Arial"/>
        </w:rPr>
        <w:t>Stangl</w:t>
      </w:r>
      <w:proofErr w:type="spellEnd"/>
      <w:r w:rsidRPr="00E12FD2">
        <w:rPr>
          <w:rFonts w:ascii="Arial" w:hAnsi="Arial" w:cs="Arial"/>
        </w:rPr>
        <w:t>, P. (2015) — Block size-based measures of street connectivity, Urban Design International.</w:t>
      </w:r>
    </w:p>
    <w:p w14:paraId="02395FBD" w14:textId="77777777" w:rsidR="009E7236" w:rsidRPr="00E12FD2" w:rsidRDefault="00000000">
      <w:pPr>
        <w:spacing w:after="160"/>
        <w:jc w:val="both"/>
        <w:rPr>
          <w:rFonts w:ascii="Arial" w:hAnsi="Arial" w:cs="Arial"/>
          <w:lang w:val="es-CO"/>
        </w:rPr>
      </w:pPr>
      <w:r w:rsidRPr="00E12FD2">
        <w:rPr>
          <w:rFonts w:ascii="Arial" w:hAnsi="Arial" w:cs="Arial"/>
          <w:color w:val="444444"/>
          <w:sz w:val="19"/>
          <w:lang w:val="es-CO"/>
        </w:rPr>
        <w:t>Nota: los umbrales provienen mayormente de literatura anglosajona (EE. UU. y Australia). No existe un estándar nacional colombiano de densidad de intersecciones ampliamente adoptado, por lo que aquí se usan como referencia comparativa, con la Comuna 9 aportando el contraste local. Contenido reformulado para cumplir con las restricciones de licencia de las fuentes.</w:t>
      </w:r>
    </w:p>
    <w:p>
      <w:pPr>
        <w:spacing w:before="240" w:after="120"/>
      </w:pPr>
      <w:r>
        <w:rPr>
          <w:rFonts w:ascii="Arial" w:hAnsi="Arial"/>
          <w:b/>
          <w:color w:val="1B4F8A"/>
          <w:sz w:val="28"/>
        </w:rPr>
        <w:t>Índice de Caminabilidad (0–100)</w:t>
      </w:r>
    </w:p>
    <w:p>
      <w:pPr>
        <w:spacing w:after="160"/>
        <w:jc w:val="both"/>
      </w:pPr>
      <w:r>
        <w:rPr>
          <w:rFonts w:ascii="Arial" w:hAnsi="Arial"/>
          <w:b w:val="0"/>
          <w:sz w:val="22"/>
        </w:rPr>
        <w:t>Para resumir la caminabilidad en una sola cifra, construimos un índice de 0 a 100 que combina tres indicadores de la red peatonal. La normalización usa referencias fijas por indicador (no valores relativos entre zonas), de modo que el resultado sea estable y comparable a lo largo del tiempo. Cada indicador se lleva a una escala de 0 a 100 y luego se pondera; la longitud de segmento se trata como indicador inverso, ya que las cuadras más cortas favorecen la caminabilidad.</w:t>
      </w:r>
    </w:p>
    <w:p>
      <w:pPr>
        <w:spacing w:after="160"/>
        <w:jc w:val="both"/>
      </w:pPr>
      <w:r>
        <w:rPr>
          <w:rFonts w:ascii="Arial" w:hAnsi="Arial"/>
          <w:b w:val="0"/>
          <w:sz w:val="22"/>
        </w:rPr>
        <w:t>Los pesos por defecto son: densidad de intersecciones 0.45, densidad de calle 0.35 y longitud de segmento 0.20. Tanto los umbrales como los pesos pueden ajustarse según el criterio del equipo. La siguiente tabla resume las referencias empleadas y los puntajes obtenidos por cada zona.</w:t>
      </w:r>
    </w:p>
    <w:tbl>
      <w:tblPr>
        <w:tblStyle w:val="Cuadrculaclara-nfasis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Arial" w:hAnsi="Arial"/>
                <w:b/>
                <w:sz w:val="18"/>
              </w:rPr>
              <w:t>Indicador</w:t>
            </w:r>
          </w:p>
        </w:tc>
        <w:tc>
          <w:tcPr>
            <w:tcW w:type="dxa" w:w="1440"/>
          </w:tcPr>
          <w:p>
            <w:pPr>
              <w:jc w:val="center"/>
            </w:pPr>
            <w:r>
              <w:rPr>
                <w:rFonts w:ascii="Arial" w:hAnsi="Arial"/>
                <w:b/>
                <w:sz w:val="18"/>
              </w:rPr>
              <w:t>ref_min</w:t>
            </w:r>
          </w:p>
        </w:tc>
        <w:tc>
          <w:tcPr>
            <w:tcW w:type="dxa" w:w="1440"/>
          </w:tcPr>
          <w:p>
            <w:pPr>
              <w:jc w:val="center"/>
            </w:pPr>
            <w:r>
              <w:rPr>
                <w:rFonts w:ascii="Arial" w:hAnsi="Arial"/>
                <w:b/>
                <w:sz w:val="18"/>
              </w:rPr>
              <w:t>ref_max</w:t>
            </w:r>
          </w:p>
        </w:tc>
        <w:tc>
          <w:tcPr>
            <w:tcW w:type="dxa" w:w="1440"/>
          </w:tcPr>
          <w:p>
            <w:pPr>
              <w:jc w:val="center"/>
            </w:pPr>
            <w:r>
              <w:rPr>
                <w:rFonts w:ascii="Arial" w:hAnsi="Arial"/>
                <w:b/>
                <w:sz w:val="18"/>
              </w:rPr>
              <w:t>Regla</w:t>
            </w:r>
          </w:p>
        </w:tc>
        <w:tc>
          <w:tcPr>
            <w:tcW w:type="dxa" w:w="1440"/>
          </w:tcPr>
          <w:p>
            <w:pPr>
              <w:jc w:val="center"/>
            </w:pPr>
            <w:r>
              <w:rPr>
                <w:rFonts w:ascii="Arial" w:hAnsi="Arial"/>
                <w:b/>
                <w:sz w:val="18"/>
              </w:rPr>
              <w:t>BO (valor → score)</w:t>
            </w:r>
          </w:p>
        </w:tc>
        <w:tc>
          <w:tcPr>
            <w:tcW w:type="dxa" w:w="1440"/>
          </w:tcPr>
          <w:p>
            <w:pPr>
              <w:jc w:val="center"/>
            </w:pPr>
            <w:r>
              <w:rPr>
                <w:rFonts w:ascii="Arial" w:hAnsi="Arial"/>
                <w:b/>
                <w:sz w:val="18"/>
              </w:rPr>
              <w:t>C9 (valor → score)</w:t>
            </w:r>
          </w:p>
        </w:tc>
      </w:tr>
      <w:tr>
        <w:tc>
          <w:tcPr>
            <w:tcW w:type="dxa" w:w="1440"/>
          </w:tcPr>
          <w:p>
            <w:pPr>
              <w:jc w:val="center"/>
            </w:pPr>
            <w:r>
              <w:rPr>
                <w:rFonts w:ascii="Arial" w:hAnsi="Arial"/>
                <w:b w:val="0"/>
                <w:sz w:val="18"/>
              </w:rPr>
              <w:t>Densidad de intersecciones (int/km²)</w:t>
            </w:r>
          </w:p>
        </w:tc>
        <w:tc>
          <w:tcPr>
            <w:tcW w:type="dxa" w:w="1440"/>
          </w:tcPr>
          <w:p>
            <w:pPr>
              <w:jc w:val="center"/>
            </w:pPr>
            <w:r>
              <w:rPr>
                <w:rFonts w:ascii="Arial" w:hAnsi="Arial"/>
                <w:b w:val="0"/>
                <w:sz w:val="18"/>
              </w:rPr>
              <w:t>100</w:t>
            </w:r>
          </w:p>
        </w:tc>
        <w:tc>
          <w:tcPr>
            <w:tcW w:type="dxa" w:w="1440"/>
          </w:tcPr>
          <w:p>
            <w:pPr>
              <w:jc w:val="center"/>
            </w:pPr>
            <w:r>
              <w:rPr>
                <w:rFonts w:ascii="Arial" w:hAnsi="Arial"/>
                <w:b w:val="0"/>
                <w:sz w:val="18"/>
              </w:rPr>
              <w:t>800</w:t>
            </w:r>
          </w:p>
        </w:tc>
        <w:tc>
          <w:tcPr>
            <w:tcW w:type="dxa" w:w="1440"/>
          </w:tcPr>
          <w:p>
            <w:pPr>
              <w:jc w:val="center"/>
            </w:pPr>
            <w:r>
              <w:rPr>
                <w:rFonts w:ascii="Arial" w:hAnsi="Arial"/>
                <w:b w:val="0"/>
                <w:sz w:val="18"/>
              </w:rPr>
              <w:t>más alto = mejor</w:t>
            </w:r>
          </w:p>
        </w:tc>
        <w:tc>
          <w:tcPr>
            <w:tcW w:type="dxa" w:w="1440"/>
          </w:tcPr>
          <w:p>
            <w:pPr>
              <w:jc w:val="center"/>
            </w:pPr>
            <w:r>
              <w:rPr>
                <w:rFonts w:ascii="Arial" w:hAnsi="Arial"/>
                <w:b w:val="0"/>
                <w:sz w:val="18"/>
              </w:rPr>
              <w:t>617 → 73.9</w:t>
            </w:r>
          </w:p>
        </w:tc>
        <w:tc>
          <w:tcPr>
            <w:tcW w:type="dxa" w:w="1440"/>
          </w:tcPr>
          <w:p>
            <w:pPr>
              <w:jc w:val="center"/>
            </w:pPr>
            <w:r>
              <w:rPr>
                <w:rFonts w:ascii="Arial" w:hAnsi="Arial"/>
                <w:b w:val="0"/>
                <w:sz w:val="18"/>
              </w:rPr>
              <w:t>777 → 96.7</w:t>
            </w:r>
          </w:p>
        </w:tc>
      </w:tr>
      <w:tr>
        <w:tc>
          <w:tcPr>
            <w:tcW w:type="dxa" w:w="1440"/>
          </w:tcPr>
          <w:p>
            <w:pPr>
              <w:jc w:val="center"/>
            </w:pPr>
            <w:r>
              <w:rPr>
                <w:rFonts w:ascii="Arial" w:hAnsi="Arial"/>
                <w:b w:val="0"/>
                <w:sz w:val="18"/>
              </w:rPr>
              <w:t>Densidad de calle (km/km²)</w:t>
            </w:r>
          </w:p>
        </w:tc>
        <w:tc>
          <w:tcPr>
            <w:tcW w:type="dxa" w:w="1440"/>
          </w:tcPr>
          <w:p>
            <w:pPr>
              <w:jc w:val="center"/>
            </w:pPr>
            <w:r>
              <w:rPr>
                <w:rFonts w:ascii="Arial" w:hAnsi="Arial"/>
                <w:b w:val="0"/>
                <w:sz w:val="18"/>
              </w:rPr>
              <w:t>20</w:t>
            </w:r>
          </w:p>
        </w:tc>
        <w:tc>
          <w:tcPr>
            <w:tcW w:type="dxa" w:w="1440"/>
          </w:tcPr>
          <w:p>
            <w:pPr>
              <w:jc w:val="center"/>
            </w:pPr>
            <w:r>
              <w:rPr>
                <w:rFonts w:ascii="Arial" w:hAnsi="Arial"/>
                <w:b w:val="0"/>
                <w:sz w:val="18"/>
              </w:rPr>
              <w:t>90</w:t>
            </w:r>
          </w:p>
        </w:tc>
        <w:tc>
          <w:tcPr>
            <w:tcW w:type="dxa" w:w="1440"/>
          </w:tcPr>
          <w:p>
            <w:pPr>
              <w:jc w:val="center"/>
            </w:pPr>
            <w:r>
              <w:rPr>
                <w:rFonts w:ascii="Arial" w:hAnsi="Arial"/>
                <w:b w:val="0"/>
                <w:sz w:val="18"/>
              </w:rPr>
              <w:t>más alto = mejor</w:t>
            </w:r>
          </w:p>
        </w:tc>
        <w:tc>
          <w:tcPr>
            <w:tcW w:type="dxa" w:w="1440"/>
          </w:tcPr>
          <w:p>
            <w:pPr>
              <w:jc w:val="center"/>
            </w:pPr>
            <w:r>
              <w:rPr>
                <w:rFonts w:ascii="Arial" w:hAnsi="Arial"/>
                <w:b w:val="0"/>
                <w:sz w:val="18"/>
              </w:rPr>
              <w:t>71.4 → 73.4</w:t>
            </w:r>
          </w:p>
        </w:tc>
        <w:tc>
          <w:tcPr>
            <w:tcW w:type="dxa" w:w="1440"/>
          </w:tcPr>
          <w:p>
            <w:pPr>
              <w:jc w:val="center"/>
            </w:pPr>
            <w:r>
              <w:rPr>
                <w:rFonts w:ascii="Arial" w:hAnsi="Arial"/>
                <w:b w:val="0"/>
                <w:sz w:val="18"/>
              </w:rPr>
              <w:t>78.4 → 83.4</w:t>
            </w:r>
          </w:p>
        </w:tc>
      </w:tr>
      <w:tr>
        <w:tc>
          <w:tcPr>
            <w:tcW w:type="dxa" w:w="1440"/>
          </w:tcPr>
          <w:p>
            <w:pPr>
              <w:jc w:val="center"/>
            </w:pPr>
            <w:r>
              <w:rPr>
                <w:rFonts w:ascii="Arial" w:hAnsi="Arial"/>
                <w:b w:val="0"/>
                <w:sz w:val="18"/>
              </w:rPr>
              <w:t>Longitud prom. de segmento (m)</w:t>
            </w:r>
          </w:p>
        </w:tc>
        <w:tc>
          <w:tcPr>
            <w:tcW w:type="dxa" w:w="1440"/>
          </w:tcPr>
          <w:p>
            <w:pPr>
              <w:jc w:val="center"/>
            </w:pPr>
            <w:r>
              <w:rPr>
                <w:rFonts w:ascii="Arial" w:hAnsi="Arial"/>
                <w:b w:val="0"/>
                <w:sz w:val="18"/>
              </w:rPr>
              <w:t>40</w:t>
            </w:r>
          </w:p>
        </w:tc>
        <w:tc>
          <w:tcPr>
            <w:tcW w:type="dxa" w:w="1440"/>
          </w:tcPr>
          <w:p>
            <w:pPr>
              <w:jc w:val="center"/>
            </w:pPr>
            <w:r>
              <w:rPr>
                <w:rFonts w:ascii="Arial" w:hAnsi="Arial"/>
                <w:b w:val="0"/>
                <w:sz w:val="18"/>
              </w:rPr>
              <w:t>150</w:t>
            </w:r>
          </w:p>
        </w:tc>
        <w:tc>
          <w:tcPr>
            <w:tcW w:type="dxa" w:w="1440"/>
          </w:tcPr>
          <w:p>
            <w:pPr>
              <w:jc w:val="center"/>
            </w:pPr>
            <w:r>
              <w:rPr>
                <w:rFonts w:ascii="Arial" w:hAnsi="Arial"/>
                <w:b w:val="0"/>
                <w:sz w:val="18"/>
              </w:rPr>
              <w:t>más bajo = mejor</w:t>
            </w:r>
          </w:p>
        </w:tc>
        <w:tc>
          <w:tcPr>
            <w:tcW w:type="dxa" w:w="1440"/>
          </w:tcPr>
          <w:p>
            <w:pPr>
              <w:jc w:val="center"/>
            </w:pPr>
            <w:r>
              <w:rPr>
                <w:rFonts w:ascii="Arial" w:hAnsi="Arial"/>
                <w:b w:val="0"/>
                <w:sz w:val="18"/>
              </w:rPr>
              <w:t>41.6 → 98.6</w:t>
            </w:r>
          </w:p>
        </w:tc>
        <w:tc>
          <w:tcPr>
            <w:tcW w:type="dxa" w:w="1440"/>
          </w:tcPr>
          <w:p>
            <w:pPr>
              <w:jc w:val="center"/>
            </w:pPr>
            <w:r>
              <w:rPr>
                <w:rFonts w:ascii="Arial" w:hAnsi="Arial"/>
                <w:b w:val="0"/>
                <w:sz w:val="18"/>
              </w:rPr>
              <w:t>34.8 → 100.0</w:t>
            </w:r>
          </w:p>
        </w:tc>
      </w:tr>
      <w:tr>
        <w:tc>
          <w:tcPr>
            <w:tcW w:type="dxa" w:w="1440"/>
          </w:tcPr>
          <w:p>
            <w:pPr>
              <w:jc w:val="center"/>
            </w:pPr>
            <w:r>
              <w:rPr>
                <w:rFonts w:ascii="Arial" w:hAnsi="Arial"/>
                <w:b/>
                <w:sz w:val="18"/>
              </w:rPr>
              <w:t>Índice de Caminabilidad (0–100)</w:t>
            </w:r>
          </w:p>
        </w:tc>
        <w:tc>
          <w:tcPr>
            <w:tcW w:type="dxa" w:w="1440"/>
          </w:tcPr>
          <w:p>
            <w:pPr>
              <w:jc w:val="center"/>
            </w:pPr>
            <w:r>
              <w:rPr>
                <w:rFonts w:ascii="Arial" w:hAnsi="Arial"/>
                <w:b/>
                <w:sz w:val="18"/>
              </w:rPr>
            </w:r>
          </w:p>
        </w:tc>
        <w:tc>
          <w:tcPr>
            <w:tcW w:type="dxa" w:w="1440"/>
          </w:tcPr>
          <w:p>
            <w:pPr>
              <w:jc w:val="center"/>
            </w:pPr>
            <w:r>
              <w:rPr>
                <w:rFonts w:ascii="Arial" w:hAnsi="Arial"/>
                <w:b/>
                <w:sz w:val="18"/>
              </w:rPr>
            </w:r>
          </w:p>
        </w:tc>
        <w:tc>
          <w:tcPr>
            <w:tcW w:type="dxa" w:w="1440"/>
          </w:tcPr>
          <w:p>
            <w:pPr>
              <w:jc w:val="center"/>
            </w:pPr>
            <w:r>
              <w:rPr>
                <w:rFonts w:ascii="Arial" w:hAnsi="Arial"/>
                <w:b/>
                <w:sz w:val="18"/>
              </w:rPr>
            </w:r>
          </w:p>
        </w:tc>
        <w:tc>
          <w:tcPr>
            <w:tcW w:type="dxa" w:w="1440"/>
          </w:tcPr>
          <w:p>
            <w:pPr>
              <w:jc w:val="center"/>
            </w:pPr>
            <w:r>
              <w:rPr>
                <w:rFonts w:ascii="Arial" w:hAnsi="Arial"/>
                <w:b/>
                <w:sz w:val="18"/>
              </w:rPr>
              <w:t>78.7</w:t>
            </w:r>
          </w:p>
        </w:tc>
        <w:tc>
          <w:tcPr>
            <w:tcW w:type="dxa" w:w="1440"/>
          </w:tcPr>
          <w:p>
            <w:pPr>
              <w:jc w:val="center"/>
            </w:pPr>
            <w:r>
              <w:rPr>
                <w:rFonts w:ascii="Arial" w:hAnsi="Arial"/>
                <w:b/>
                <w:sz w:val="18"/>
              </w:rPr>
              <w:t>92.7</w:t>
            </w:r>
          </w:p>
        </w:tc>
      </w:tr>
    </w:tbl>
    <w:p>
      <w:pPr>
        <w:spacing w:after="160"/>
        <w:jc w:val="both"/>
      </w:pPr>
      <w:r>
        <w:rPr>
          <w:rFonts w:ascii="Arial" w:hAnsi="Arial"/>
          <w:b w:val="0"/>
          <w:sz w:val="22"/>
        </w:rPr>
        <w:t>La columna «valor → score» muestra el dato observado de cada zona y el puntaje 0–100 que resulta tras aplicar la regla. En «más alto = mejor», un valor mayor sube el puntaje; en «más bajo = mejor» (longitud de segmento), un valor menor lo sube, porque las cuadras cortas favorecen la caminabilidad. Por eso los 41.6 m de Barrio Obrero, cercanos al ideal (~40 m), obtienen 98.6.</w:t>
      </w:r>
    </w:p>
    <w:p>
      <w:pPr>
        <w:spacing w:after="160"/>
        <w:jc w:val="both"/>
      </w:pPr>
      <w:r>
        <w:rPr>
          <w:rFonts w:ascii="Arial" w:hAnsi="Arial"/>
          <w:b w:val="0"/>
          <w:sz w:val="22"/>
        </w:rPr>
        <w:t>En la línea base, el Barrio Obrero obtiene un índice de 78.7 y la Comuna 9 de 92.7. Ambos valores son altos y reflejan tramas urbanas caminables. La ventaja de la Comuna 9 proviene sobre todo de su mayor densidad de intersecciones. Conviene recordar que el índice es una síntesis: su lectura debe acompañarse de los indicadores individuales y del contexto de cada zona.</w:t>
      </w:r>
    </w:p>
    <w:p>
      <w:pPr>
        <w:jc w:val="center"/>
      </w:pPr>
      <w:r>
        <w:drawing>
          <wp:inline xmlns:a="http://schemas.openxmlformats.org/drawingml/2006/main" xmlns:pic="http://schemas.openxmlformats.org/drawingml/2006/picture">
            <wp:extent cx="5669280" cy="2199966"/>
            <wp:docPr id="10" name="Picture 10"/>
            <wp:cNvGraphicFramePr>
              <a:graphicFrameLocks noChangeAspect="1"/>
            </wp:cNvGraphicFramePr>
            <a:graphic>
              <a:graphicData uri="http://schemas.openxmlformats.org/drawingml/2006/picture">
                <pic:pic>
                  <pic:nvPicPr>
                    <pic:cNvPr id="0" name="graf_indice_caminabilidad_barrio_obrero.png"/>
                    <pic:cNvPicPr/>
                  </pic:nvPicPr>
                  <pic:blipFill>
                    <a:blip r:embed="rId17"/>
                    <a:stretch>
                      <a:fillRect/>
                    </a:stretch>
                  </pic:blipFill>
                  <pic:spPr>
                    <a:xfrm>
                      <a:off x="0" y="0"/>
                      <a:ext cx="5669280" cy="2199966"/>
                    </a:xfrm>
                    <a:prstGeom prst="rect"/>
                  </pic:spPr>
                </pic:pic>
              </a:graphicData>
            </a:graphic>
          </wp:inline>
        </w:drawing>
      </w:r>
    </w:p>
    <w:p>
      <w:pPr>
        <w:spacing w:after="160"/>
        <w:jc w:val="both"/>
      </w:pPr>
      <w:r>
        <w:rPr>
          <w:rFonts w:ascii="Arial" w:hAnsi="Arial"/>
          <w:b w:val="0"/>
          <w:color w:val="444444"/>
          <w:sz w:val="19"/>
        </w:rPr>
        <w:t>Nota metodológica: los umbrales de referencia se basan en literatura de caminabilidad (US EPA EnviroAtlas; IPEN / U. de Melbourne; regulación de Queensland; Stangl, 2015) y se usan como marco comparativo. El índice es ajustable y está pensado para evolucionar a medida que se incorporen nuevos indicadores o datos locales.</w:t>
      </w:r>
    </w:p>
    <w:sectPr w:rsidR="009E7236" w:rsidRPr="00E12F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37006925">
    <w:abstractNumId w:val="8"/>
  </w:num>
  <w:num w:numId="2" w16cid:durableId="586498431">
    <w:abstractNumId w:val="6"/>
  </w:num>
  <w:num w:numId="3" w16cid:durableId="146241204">
    <w:abstractNumId w:val="5"/>
  </w:num>
  <w:num w:numId="4" w16cid:durableId="567879902">
    <w:abstractNumId w:val="4"/>
  </w:num>
  <w:num w:numId="5" w16cid:durableId="386219690">
    <w:abstractNumId w:val="7"/>
  </w:num>
  <w:num w:numId="6" w16cid:durableId="874929298">
    <w:abstractNumId w:val="3"/>
  </w:num>
  <w:num w:numId="7" w16cid:durableId="2144229349">
    <w:abstractNumId w:val="2"/>
  </w:num>
  <w:num w:numId="8" w16cid:durableId="510611111">
    <w:abstractNumId w:val="1"/>
  </w:num>
  <w:num w:numId="9" w16cid:durableId="312299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0AA"/>
    <w:rsid w:val="0015074B"/>
    <w:rsid w:val="0029639D"/>
    <w:rsid w:val="00326F90"/>
    <w:rsid w:val="009D1EB8"/>
    <w:rsid w:val="009E7236"/>
    <w:rsid w:val="009F0275"/>
    <w:rsid w:val="00A95E02"/>
    <w:rsid w:val="00AA1D8D"/>
    <w:rsid w:val="00B47730"/>
    <w:rsid w:val="00CB0664"/>
    <w:rsid w:val="00DD2BF0"/>
    <w:rsid w:val="00E12FD2"/>
    <w:rsid w:val="00E679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C424A"/>
  <w14:defaultImageDpi w14:val="300"/>
  <w15:docId w15:val="{80A65743-D7F2-4A4C-ABEB-A173CBAFD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952</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Castaño lopez</cp:lastModifiedBy>
  <cp:revision>8</cp:revision>
  <dcterms:created xsi:type="dcterms:W3CDTF">2013-12-23T23:15:00Z</dcterms:created>
  <dcterms:modified xsi:type="dcterms:W3CDTF">2026-09-18T20:20:00Z</dcterms:modified>
  <cp:category/>
</cp:coreProperties>
</file>