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color w:val="2B6CB0"/>
          <w:sz w:val="19"/>
        </w:rPr>
        <w:t>INFORME EJECUTIVO DE INVESTIGACIÓN</w:t>
      </w:r>
    </w:p>
    <w:p>
      <w:pPr>
        <w:spacing w:before="0" w:after="120" w:line="264" w:lineRule="auto"/>
      </w:pPr>
      <w:r>
        <w:rPr>
          <w:b/>
          <w:color w:val="1B365D"/>
          <w:sz w:val="44"/>
        </w:rPr>
        <w:t>Radiografía Socioeconómica y Brecha Digital de Colombia</w:t>
      </w:r>
    </w:p>
    <w:p>
      <w:pPr>
        <w:spacing w:before="0" w:after="320" w:line="276" w:lineRule="auto"/>
        <w:pBdr>
          <w:bottom w:val="single" w:sz="12" w:space="10" w:color="2B6CB0"/>
        </w:pBdr>
      </w:pPr>
      <w:r>
        <w:rPr>
          <w:color w:val="2D3748"/>
          <w:sz w:val="23"/>
        </w:rPr>
        <w:t>Determinantes Estructurales, Capital Humano y Disparidades Territoriales a partir de los Microdatos de la Encuesta de Calidad de Vida (ECV) 2024</w:t>
      </w:r>
    </w:p>
    <w:tbl>
      <w:tblPr>
        <w:tblW w:type="auto" w:w="0"/>
        <w:jc w:val="center"/>
        <w:tblLayout w:type="fixed"/>
        <w:tblLook w:firstColumn="1" w:firstRow="1" w:lastColumn="0" w:lastRow="0" w:noHBand="0" w:noVBand="1" w:val="04A0"/>
        <w:tblBorders>
          <w:top w:val="single" w:sz="6" w:space="0" w:color="A0AEC0"/>
          <w:bottom w:val="single" w:sz="8" w:space="0" w:color="4A5568"/>
          <w:insideH w:val="single" w:sz="4" w:space="0" w:color="E2E8F0"/>
          <w:left w:val="none"/>
          <w:right w:val="none"/>
          <w:insideV w:val="none"/>
        </w:tblBorders>
      </w:tblPr>
      <w:tblGrid>
        <w:gridCol w:w="4703"/>
        <w:gridCol w:w="4703"/>
      </w:tblGrid>
      <w:tr>
        <w:trPr>
          <w:tblHeader/>
          <w:cantSplit/>
        </w:trPr>
        <w:tc>
          <w:tcPr>
            <w:tcW w:type="dxa" w:w="2551"/>
            <w:shd w:val="clear" w:color="auto" w:fill="F7FAFC"/>
            <w:tcMar>
              <w:top w:w="85" w:type="dxa"/>
              <w:bottom w:w="85" w:type="dxa"/>
              <w:left w:w="130" w:type="dxa"/>
              <w:right w:w="130" w:type="dxa"/>
            </w:tcMar>
          </w:tcPr>
          <w:p>
            <w:pPr>
              <w:spacing w:before="0" w:after="0"/>
              <w:jc w:val="left"/>
            </w:pPr>
            <w:r>
              <w:rPr>
                <w:b/>
                <w:color w:val="1B365D"/>
                <w:sz w:val="18"/>
              </w:rPr>
              <w:t>Entidad fuente</w:t>
            </w:r>
          </w:p>
        </w:tc>
        <w:tc>
          <w:tcPr>
            <w:tcW w:type="dxa" w:w="6803"/>
            <w:shd w:val="clear" w:color="auto" w:fill="F7FAFC"/>
            <w:tcMar>
              <w:top w:w="85" w:type="dxa"/>
              <w:bottom w:w="85" w:type="dxa"/>
              <w:left w:w="130" w:type="dxa"/>
              <w:right w:w="130" w:type="dxa"/>
            </w:tcMar>
          </w:tcPr>
          <w:p>
            <w:pPr>
              <w:spacing w:before="0" w:after="0"/>
              <w:jc w:val="left"/>
            </w:pPr>
            <w:r>
              <w:rPr>
                <w:color w:val="2D3748"/>
                <w:sz w:val="18"/>
              </w:rPr>
              <w:t>DANE — Departamento Administrativo Nacional de Estadística</w:t>
            </w:r>
          </w:p>
        </w:tc>
      </w:tr>
      <w:tr>
        <w:trPr>
          <w:cantSplit/>
        </w:trPr>
        <w:tc>
          <w:tcPr>
            <w:tcW w:type="dxa" w:w="2551"/>
            <w:tcMar>
              <w:top w:w="70" w:type="dxa"/>
              <w:bottom w:w="70" w:type="dxa"/>
              <w:left w:w="130" w:type="dxa"/>
              <w:right w:w="130" w:type="dxa"/>
            </w:tcMar>
          </w:tcPr>
          <w:p>
            <w:pPr>
              <w:spacing w:before="0" w:after="0"/>
              <w:jc w:val="left"/>
            </w:pPr>
            <w:r>
              <w:rPr>
                <w:b/>
                <w:color w:val="1B365D"/>
                <w:sz w:val="18"/>
              </w:rPr>
              <w:t>Operativo estadístico</w:t>
            </w:r>
          </w:p>
        </w:tc>
        <w:tc>
          <w:tcPr>
            <w:tcW w:type="dxa" w:w="6803"/>
            <w:tcMar>
              <w:top w:w="70" w:type="dxa"/>
              <w:bottom w:w="70" w:type="dxa"/>
              <w:left w:w="130" w:type="dxa"/>
              <w:right w:w="130" w:type="dxa"/>
            </w:tcMar>
          </w:tcPr>
          <w:p>
            <w:pPr>
              <w:spacing w:before="0" w:after="0"/>
              <w:jc w:val="left"/>
            </w:pPr>
            <w:r>
              <w:rPr>
                <w:color w:val="2D3748"/>
                <w:sz w:val="18"/>
              </w:rPr>
              <w:t>Encuesta Nacional de Calidad de Vida (ECV) 2024</w:t>
            </w:r>
          </w:p>
        </w:tc>
      </w:tr>
      <w:tr>
        <w:trPr>
          <w:cantSplit/>
        </w:trPr>
        <w:tc>
          <w:tcPr>
            <w:tcW w:type="dxa" w:w="2551"/>
            <w:tcMar>
              <w:top w:w="70" w:type="dxa"/>
              <w:bottom w:w="70" w:type="dxa"/>
              <w:left w:w="130" w:type="dxa"/>
              <w:right w:w="130" w:type="dxa"/>
            </w:tcMar>
          </w:tcPr>
          <w:p>
            <w:pPr>
              <w:spacing w:before="0" w:after="0"/>
              <w:jc w:val="left"/>
            </w:pPr>
            <w:r>
              <w:rPr>
                <w:b/>
                <w:color w:val="1B365D"/>
                <w:sz w:val="18"/>
              </w:rPr>
              <w:t>Cobertura geográfica</w:t>
            </w:r>
          </w:p>
        </w:tc>
        <w:tc>
          <w:tcPr>
            <w:tcW w:type="dxa" w:w="6803"/>
            <w:tcMar>
              <w:top w:w="70" w:type="dxa"/>
              <w:bottom w:w="70" w:type="dxa"/>
              <w:left w:w="130" w:type="dxa"/>
              <w:right w:w="130" w:type="dxa"/>
            </w:tcMar>
          </w:tcPr>
          <w:p>
            <w:pPr>
              <w:spacing w:before="0" w:after="0"/>
              <w:jc w:val="left"/>
            </w:pPr>
            <w:r>
              <w:rPr>
                <w:color w:val="2D3748"/>
                <w:sz w:val="18"/>
              </w:rPr>
              <w:t>Nacional · 33 Departamentos · Cabeceras municipales y Rural disperso</w:t>
            </w:r>
          </w:p>
        </w:tc>
      </w:tr>
      <w:tr>
        <w:trPr>
          <w:cantSplit/>
        </w:trPr>
        <w:tc>
          <w:tcPr>
            <w:tcW w:type="dxa" w:w="2551"/>
            <w:tcMar>
              <w:top w:w="70" w:type="dxa"/>
              <w:bottom w:w="70" w:type="dxa"/>
              <w:left w:w="130" w:type="dxa"/>
              <w:right w:w="130" w:type="dxa"/>
            </w:tcMar>
          </w:tcPr>
          <w:p>
            <w:pPr>
              <w:spacing w:before="0" w:after="0"/>
              <w:jc w:val="left"/>
            </w:pPr>
            <w:r>
              <w:rPr>
                <w:b/>
                <w:color w:val="1B365D"/>
                <w:sz w:val="18"/>
              </w:rPr>
              <w:t>Muestra analítica</w:t>
            </w:r>
          </w:p>
        </w:tc>
        <w:tc>
          <w:tcPr>
            <w:tcW w:type="dxa" w:w="6803"/>
            <w:tcMar>
              <w:top w:w="70" w:type="dxa"/>
              <w:bottom w:w="70" w:type="dxa"/>
              <w:left w:w="130" w:type="dxa"/>
              <w:right w:w="130" w:type="dxa"/>
            </w:tcMar>
          </w:tcPr>
          <w:p>
            <w:pPr>
              <w:spacing w:before="0" w:after="0"/>
              <w:jc w:val="left"/>
            </w:pPr>
            <w:r>
              <w:rPr>
                <w:color w:val="2D3748"/>
                <w:sz w:val="18"/>
              </w:rPr>
              <w:t>85,387 hogares · 214,607 personas</w:t>
            </w:r>
          </w:p>
        </w:tc>
      </w:tr>
      <w:tr>
        <w:trPr>
          <w:cantSplit/>
        </w:trPr>
        <w:tc>
          <w:tcPr>
            <w:tcW w:type="dxa" w:w="2551"/>
            <w:tcMar>
              <w:top w:w="70" w:type="dxa"/>
              <w:bottom w:w="70" w:type="dxa"/>
              <w:left w:w="130" w:type="dxa"/>
              <w:right w:w="130" w:type="dxa"/>
            </w:tcMar>
          </w:tcPr>
          <w:p>
            <w:pPr>
              <w:spacing w:before="0" w:after="0"/>
              <w:jc w:val="left"/>
            </w:pPr>
            <w:r>
              <w:rPr>
                <w:b/>
                <w:color w:val="1B365D"/>
                <w:sz w:val="18"/>
              </w:rPr>
              <w:t>Representatividad expandida</w:t>
            </w:r>
          </w:p>
        </w:tc>
        <w:tc>
          <w:tcPr>
            <w:tcW w:type="dxa" w:w="6803"/>
            <w:tcMar>
              <w:top w:w="70" w:type="dxa"/>
              <w:bottom w:w="70" w:type="dxa"/>
              <w:left w:w="130" w:type="dxa"/>
              <w:right w:w="130" w:type="dxa"/>
            </w:tcMar>
          </w:tcPr>
          <w:p>
            <w:pPr>
              <w:spacing w:before="0" w:after="0"/>
              <w:jc w:val="left"/>
            </w:pPr>
            <w:r>
              <w:rPr>
                <w:color w:val="2D3748"/>
                <w:sz w:val="18"/>
              </w:rPr>
              <w:t>18,489,373 hogares · 51,802,400 personas (Factor de Expansión FEX_C)</w:t>
            </w:r>
          </w:p>
        </w:tc>
      </w:tr>
      <w:tr>
        <w:trPr>
          <w:cantSplit/>
        </w:trPr>
        <w:tc>
          <w:tcPr>
            <w:tcW w:type="dxa" w:w="2551"/>
            <w:tcMar>
              <w:top w:w="70" w:type="dxa"/>
              <w:bottom w:w="70" w:type="dxa"/>
              <w:left w:w="130" w:type="dxa"/>
              <w:right w:w="130" w:type="dxa"/>
            </w:tcMar>
          </w:tcPr>
          <w:p>
            <w:pPr>
              <w:spacing w:before="0" w:after="0"/>
              <w:jc w:val="left"/>
            </w:pPr>
            <w:r>
              <w:rPr>
                <w:b/>
                <w:color w:val="1B365D"/>
                <w:sz w:val="18"/>
              </w:rPr>
              <w:t>Investigador / Autor</w:t>
            </w:r>
          </w:p>
        </w:tc>
        <w:tc>
          <w:tcPr>
            <w:tcW w:type="dxa" w:w="6803"/>
            <w:tcMar>
              <w:top w:w="70" w:type="dxa"/>
              <w:bottom w:w="70" w:type="dxa"/>
              <w:left w:w="130" w:type="dxa"/>
              <w:right w:w="130" w:type="dxa"/>
            </w:tcMar>
          </w:tcPr>
          <w:p>
            <w:pPr>
              <w:spacing w:before="0" w:after="0"/>
              <w:jc w:val="left"/>
            </w:pPr>
            <w:r>
              <w:rPr>
                <w:color w:val="2D3748"/>
                <w:sz w:val="18"/>
              </w:rPr>
              <w:t>j0thers · Proyecto de Ciencia de Datos y Estadística Social</w:t>
            </w:r>
          </w:p>
        </w:tc>
      </w:tr>
      <w:tr>
        <w:trPr>
          <w:cantSplit/>
        </w:trPr>
        <w:tc>
          <w:tcPr>
            <w:tcW w:type="dxa" w:w="2551"/>
            <w:tcMar>
              <w:top w:w="70" w:type="dxa"/>
              <w:bottom w:w="70" w:type="dxa"/>
              <w:left w:w="130" w:type="dxa"/>
              <w:right w:w="130" w:type="dxa"/>
            </w:tcMar>
          </w:tcPr>
          <w:p>
            <w:pPr>
              <w:spacing w:before="0" w:after="0"/>
              <w:jc w:val="left"/>
            </w:pPr>
            <w:r>
              <w:rPr>
                <w:b/>
                <w:color w:val="1B365D"/>
                <w:sz w:val="18"/>
              </w:rPr>
              <w:t>Repositorio y reproducibilidad</w:t>
            </w:r>
          </w:p>
        </w:tc>
        <w:tc>
          <w:tcPr>
            <w:tcW w:type="dxa" w:w="6803"/>
            <w:tcMar>
              <w:top w:w="70" w:type="dxa"/>
              <w:bottom w:w="70" w:type="dxa"/>
              <w:left w:w="130" w:type="dxa"/>
              <w:right w:w="130" w:type="dxa"/>
            </w:tcMar>
          </w:tcPr>
          <w:p>
            <w:pPr>
              <w:spacing w:before="0" w:after="0"/>
              <w:jc w:val="left"/>
            </w:pPr>
            <w:r>
              <w:rPr>
                <w:color w:val="2D3748"/>
                <w:sz w:val="18"/>
              </w:rPr>
              <w:t>https://github.com/j0thers/ecv-brecha-digital-colombia</w:t>
            </w:r>
          </w:p>
        </w:tc>
      </w:tr>
      <w:tr>
        <w:trPr>
          <w:cantSplit/>
        </w:trPr>
        <w:tc>
          <w:tcPr>
            <w:tcW w:type="dxa" w:w="2551"/>
            <w:tcMar>
              <w:top w:w="70" w:type="dxa"/>
              <w:bottom w:w="70" w:type="dxa"/>
              <w:left w:w="130" w:type="dxa"/>
              <w:right w:w="130" w:type="dxa"/>
            </w:tcMar>
          </w:tcPr>
          <w:p>
            <w:pPr>
              <w:spacing w:before="0" w:after="0"/>
              <w:jc w:val="left"/>
            </w:pPr>
            <w:r>
              <w:rPr>
                <w:b/>
                <w:color w:val="1B365D"/>
                <w:sz w:val="18"/>
              </w:rPr>
              <w:t>Fecha de publicación</w:t>
            </w:r>
          </w:p>
        </w:tc>
        <w:tc>
          <w:tcPr>
            <w:tcW w:type="dxa" w:w="6803"/>
            <w:tcMar>
              <w:top w:w="70" w:type="dxa"/>
              <w:bottom w:w="70" w:type="dxa"/>
              <w:left w:w="130" w:type="dxa"/>
              <w:right w:w="130" w:type="dxa"/>
            </w:tcMar>
          </w:tcPr>
          <w:p>
            <w:pPr>
              <w:spacing w:before="0" w:after="0"/>
              <w:jc w:val="left"/>
            </w:pPr>
            <w:r>
              <w:rPr>
                <w:color w:val="2D3748"/>
                <w:sz w:val="18"/>
              </w:rPr>
              <w:t>Octubre 2026 · Versión 1.0 (Código y Datos Reproducibles)</w:t>
            </w:r>
          </w:p>
        </w:tc>
      </w:tr>
    </w:tbl>
    <w:p>
      <w:r>
        <w:br w:type="page"/>
      </w:r>
    </w:p>
    <w:p>
      <w:pPr>
        <w:pStyle w:val="Heading1"/>
      </w:pPr>
      <w:r>
        <w:t>1. Resumen Ejecutivo</w:t>
      </w:r>
    </w:p>
    <w:p>
      <w:pPr>
        <w:spacing w:after="60"/>
      </w:pPr>
      <w:r>
        <w:t>El presente estudio examina la relación entre las condiciones socioeconómicas, el capital humano y los patrones de acceso, equipamiento y aprovechamiento de Internet en Colombia, utilizando los microdatos de la Encuesta de Calidad de Vida (ECV) 2024 del DANE (85,387 hogares y 214,607 personas, representativos de 18.49 millones de hogares mediante estimadores de Horvitz-Thompson con factor FEX_C).</w:t>
      </w:r>
    </w:p>
    <w:p>
      <w:pPr>
        <w:spacing w:after="60"/>
      </w:pPr>
      <w:r>
        <w:t>Los hallazgos revelan una marcada desconexión entre la conectividad móvil personal y la infraestructura tecnológica instalada en las viviendas. La Tabla 1 sintetiza los cinco indicadores cardinales contrastados con las referencias oficiales del DANE:</w:t>
      </w:r>
    </w:p>
    <w:tbl>
      <w:tblPr>
        <w:tblW w:type="auto" w:w="0"/>
        <w:tblLook w:firstColumn="1" w:firstRow="1" w:lastColumn="0" w:lastRow="0" w:noHBand="0" w:noVBand="1" w:val="04A0"/>
        <w:jc w:val="center"/>
        <w:tblBorders>
          <w:top w:val="single" w:sz="6" w:space="0" w:color="A0AEC0"/>
          <w:bottom w:val="single" w:sz="8" w:space="0" w:color="4A5568"/>
          <w:insideH w:val="single" w:sz="4" w:space="0" w:color="E2E8F0"/>
          <w:left w:val="none"/>
          <w:right w:val="none"/>
          <w:insideV w:val="none"/>
        </w:tblBorders>
        <w:tblBorders>
          <w:top w:val="single" w:sz="6" w:space="0" w:color="A0AEC0"/>
          <w:bottom w:val="single" w:sz="8" w:space="0" w:color="4A5568"/>
          <w:insideH w:val="single" w:sz="4" w:space="0" w:color="E2E8F0"/>
          <w:left w:val="none"/>
          <w:right w:val="none"/>
          <w:insideV w:val="none"/>
        </w:tblBorders>
      </w:tblPr>
      <w:tblGrid>
        <w:gridCol w:w="2351"/>
        <w:gridCol w:w="2351"/>
        <w:gridCol w:w="2351"/>
        <w:gridCol w:w="2351"/>
      </w:tblGrid>
      <w:tr>
        <w:trPr>
          <w:tblHeader/>
          <w:cantSplit/>
          <w:tblHeader/>
          <w:cantSplit/>
        </w:trPr>
        <w:tc>
          <w:tcPr>
            <w:tcW w:type="dxa" w:w="3515"/>
            <w:shd w:val="clear" w:color="auto" w:fill="EDF2F7"/>
            <w:tcMar>
              <w:top w:w="75" w:type="dxa"/>
              <w:bottom w:w="75" w:type="dxa"/>
              <w:left w:w="130" w:type="dxa"/>
              <w:right w:w="130" w:type="dxa"/>
            </w:tcMar>
            <w:shd w:val="clear" w:color="auto" w:fill="EDF2F7"/>
            <w:tcMar>
              <w:top w:w="75" w:type="dxa"/>
              <w:bottom w:w="75" w:type="dxa"/>
              <w:left w:w="130" w:type="dxa"/>
              <w:right w:w="130" w:type="dxa"/>
            </w:tcMar>
          </w:tcPr>
          <w:p>
            <w:pPr>
              <w:spacing w:before="0" w:after="0"/>
              <w:jc w:val="left"/>
            </w:pPr>
            <w:r>
              <w:rPr>
                <w:b/>
                <w:color w:val="1B365D"/>
                <w:sz w:val="18"/>
              </w:rPr>
              <w:t>Indicador Clave de Acceso</w:t>
            </w:r>
          </w:p>
        </w:tc>
        <w:tc>
          <w:tcPr>
            <w:tcW w:type="dxa" w:w="1304"/>
            <w:shd w:val="clear" w:color="auto" w:fill="EDF2F7"/>
            <w:tcMar>
              <w:top w:w="75" w:type="dxa"/>
              <w:bottom w:w="75" w:type="dxa"/>
              <w:left w:w="130" w:type="dxa"/>
              <w:right w:w="130" w:type="dxa"/>
            </w:tcMar>
            <w:shd w:val="clear" w:color="auto" w:fill="EDF2F7"/>
            <w:tcMar>
              <w:top w:w="75" w:type="dxa"/>
              <w:bottom w:w="75" w:type="dxa"/>
              <w:left w:w="130" w:type="dxa"/>
              <w:right w:w="130" w:type="dxa"/>
            </w:tcMar>
          </w:tcPr>
          <w:p>
            <w:pPr>
              <w:spacing w:before="0" w:after="0"/>
              <w:jc w:val="right"/>
            </w:pPr>
            <w:r>
              <w:rPr>
                <w:b/>
                <w:color w:val="1B365D"/>
                <w:sz w:val="18"/>
              </w:rPr>
              <w:t>Tasa Ponderada</w:t>
            </w:r>
          </w:p>
        </w:tc>
        <w:tc>
          <w:tcPr>
            <w:tcW w:type="dxa" w:w="1984"/>
            <w:shd w:val="clear" w:color="auto" w:fill="EDF2F7"/>
            <w:tcMar>
              <w:top w:w="75" w:type="dxa"/>
              <w:bottom w:w="75" w:type="dxa"/>
              <w:left w:w="130" w:type="dxa"/>
              <w:right w:w="130" w:type="dxa"/>
            </w:tcMar>
            <w:shd w:val="clear" w:color="auto" w:fill="EDF2F7"/>
            <w:tcMar>
              <w:top w:w="75" w:type="dxa"/>
              <w:bottom w:w="75" w:type="dxa"/>
              <w:left w:w="130" w:type="dxa"/>
              <w:right w:w="130" w:type="dxa"/>
            </w:tcMar>
          </w:tcPr>
          <w:p>
            <w:pPr>
              <w:spacing w:before="0" w:after="0"/>
              <w:jc w:val="right"/>
            </w:pPr>
            <w:r>
              <w:rPr>
                <w:b/>
                <w:color w:val="1B365D"/>
                <w:sz w:val="18"/>
              </w:rPr>
              <w:t>Hogares / Personas</w:t>
            </w:r>
          </w:p>
        </w:tc>
        <w:tc>
          <w:tcPr>
            <w:tcW w:type="dxa" w:w="2551"/>
            <w:shd w:val="clear" w:color="auto" w:fill="EDF2F7"/>
            <w:tcMar>
              <w:top w:w="75" w:type="dxa"/>
              <w:bottom w:w="75" w:type="dxa"/>
              <w:left w:w="130" w:type="dxa"/>
              <w:right w:w="130" w:type="dxa"/>
            </w:tcMar>
            <w:shd w:val="clear" w:color="auto" w:fill="EDF2F7"/>
            <w:tcMar>
              <w:top w:w="75" w:type="dxa"/>
              <w:bottom w:w="75" w:type="dxa"/>
              <w:left w:w="130" w:type="dxa"/>
              <w:right w:w="130" w:type="dxa"/>
            </w:tcMar>
          </w:tcPr>
          <w:p>
            <w:pPr>
              <w:spacing w:before="0" w:after="0"/>
              <w:jc w:val="left"/>
            </w:pPr>
            <w:r>
              <w:rPr>
                <w:b/>
                <w:color w:val="1B365D"/>
                <w:sz w:val="18"/>
              </w:rPr>
              <w:t>Referencia Oficial DANE</w:t>
            </w:r>
          </w:p>
        </w:tc>
      </w:tr>
      <w:tr>
        <w:trPr>
          <w:cantSplit/>
          <w:cantSplit/>
        </w:trPr>
        <w:tc>
          <w:tcPr>
            <w:tcW w:type="dxa" w:w="3515"/>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Servicio de Internet en el hogar (P1075)</w:t>
            </w:r>
          </w:p>
        </w:tc>
        <w:tc>
          <w:tcPr>
            <w:tcW w:type="dxa" w:w="1304"/>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65.6%</w:t>
            </w:r>
          </w:p>
        </w:tc>
        <w:tc>
          <w:tcPr>
            <w:tcW w:type="dxa" w:w="1984"/>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12.14 M hogares</w:t>
            </w:r>
          </w:p>
        </w:tc>
        <w:tc>
          <w:tcPr>
            <w:tcW w:type="dxa" w:w="2551"/>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65.6% (Boletín Técnico ECV 2024)</w:t>
            </w:r>
          </w:p>
        </w:tc>
      </w:tr>
      <w:tr>
        <w:trPr>
          <w:cantSplit/>
          <w:cantSplit/>
        </w:trPr>
        <w:tc>
          <w:tcPr>
            <w:tcW w:type="dxa" w:w="3515"/>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Presencia de usuarios de Internet en el hogar</w:t>
            </w:r>
          </w:p>
        </w:tc>
        <w:tc>
          <w:tcPr>
            <w:tcW w:type="dxa" w:w="1304"/>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96.9%</w:t>
            </w:r>
          </w:p>
        </w:tc>
        <w:tc>
          <w:tcPr>
            <w:tcW w:type="dxa" w:w="1984"/>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17.92 M hogares</w:t>
            </w:r>
          </w:p>
        </w:tc>
        <w:tc>
          <w:tcPr>
            <w:tcW w:type="dxa" w:w="2551"/>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Métrica de adopción celular/móvil</w:t>
            </w:r>
          </w:p>
        </w:tc>
      </w:tr>
      <w:tr>
        <w:trPr>
          <w:cantSplit/>
          <w:cantSplit/>
        </w:trPr>
        <w:tc>
          <w:tcPr>
            <w:tcW w:type="dxa" w:w="3515"/>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Tenencia de computador (escritorio o portátil)*</w:t>
            </w:r>
          </w:p>
        </w:tc>
        <w:tc>
          <w:tcPr>
            <w:tcW w:type="dxa" w:w="1304"/>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40.3%</w:t>
            </w:r>
          </w:p>
        </w:tc>
        <w:tc>
          <w:tcPr>
            <w:tcW w:type="dxa" w:w="1984"/>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7.45 M hogares</w:t>
            </w:r>
          </w:p>
        </w:tc>
        <w:tc>
          <w:tcPr>
            <w:tcW w:type="dxa" w:w="2551"/>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40.4% (P5230); Benchmark ENTIC 35.7%*</w:t>
            </w:r>
          </w:p>
        </w:tc>
      </w:tr>
      <w:tr>
        <w:trPr>
          <w:cantSplit/>
          <w:cantSplit/>
        </w:trPr>
        <w:tc>
          <w:tcPr>
            <w:tcW w:type="dxa" w:w="3515"/>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Tenencia ampliada de cómputo (con tabletas)</w:t>
            </w:r>
          </w:p>
        </w:tc>
        <w:tc>
          <w:tcPr>
            <w:tcW w:type="dxa" w:w="1304"/>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50.3%</w:t>
            </w:r>
          </w:p>
        </w:tc>
        <w:tc>
          <w:tcPr>
            <w:tcW w:type="dxa" w:w="1984"/>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9.30 M hogares</w:t>
            </w:r>
          </w:p>
        </w:tc>
        <w:tc>
          <w:tcPr>
            <w:tcW w:type="dxa" w:w="2551"/>
            <w:shd w:val="clear" w:color="auto" w:fill="F7FAFC"/>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P1077 (S15, S16, S17) combinados</w:t>
            </w:r>
          </w:p>
        </w:tc>
      </w:tr>
      <w:tr>
        <w:trPr>
          <w:cantSplit/>
          <w:cantSplit/>
        </w:trPr>
        <w:tc>
          <w:tcPr>
            <w:tcW w:type="dxa" w:w="3515"/>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Uso individual de Internet (población ≥ 5 años)**</w:t>
            </w:r>
          </w:p>
        </w:tc>
        <w:tc>
          <w:tcPr>
            <w:tcW w:type="dxa" w:w="1304"/>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78.0%</w:t>
            </w:r>
          </w:p>
        </w:tc>
        <w:tc>
          <w:tcPr>
            <w:tcW w:type="dxa" w:w="1984"/>
            <w:tcMar>
              <w:top w:w="60" w:type="dxa"/>
              <w:bottom w:w="60" w:type="dxa"/>
              <w:left w:w="130" w:type="dxa"/>
              <w:right w:w="130" w:type="dxa"/>
            </w:tcMar>
            <w:tcMar>
              <w:top w:w="60" w:type="dxa"/>
              <w:bottom w:w="60" w:type="dxa"/>
              <w:left w:w="130" w:type="dxa"/>
              <w:right w:w="130" w:type="dxa"/>
            </w:tcMar>
          </w:tcPr>
          <w:p>
            <w:pPr>
              <w:spacing w:before="0" w:after="0"/>
              <w:jc w:val="right"/>
            </w:pPr>
            <w:r>
              <w:rPr>
                <w:sz w:val="18"/>
              </w:rPr>
              <w:t>40.41 M personas</w:t>
            </w:r>
          </w:p>
        </w:tc>
        <w:tc>
          <w:tcPr>
            <w:tcW w:type="dxa" w:w="2551"/>
            <w:tcMar>
              <w:top w:w="60" w:type="dxa"/>
              <w:bottom w:w="60" w:type="dxa"/>
              <w:left w:w="130" w:type="dxa"/>
              <w:right w:w="130" w:type="dxa"/>
            </w:tcMar>
            <w:tcMar>
              <w:top w:w="60" w:type="dxa"/>
              <w:bottom w:w="60" w:type="dxa"/>
              <w:left w:w="130" w:type="dxa"/>
              <w:right w:w="130" w:type="dxa"/>
            </w:tcMar>
          </w:tcPr>
          <w:p>
            <w:pPr>
              <w:spacing w:before="0" w:after="0"/>
              <w:jc w:val="left"/>
            </w:pPr>
            <w:r>
              <w:rPr>
                <w:sz w:val="18"/>
              </w:rPr>
              <w:t>79.3% (Boletín Técnico ECV 2024)**</w:t>
            </w:r>
          </w:p>
        </w:tc>
      </w:tr>
      <w:tr>
        <w:trPr>
          <w:cantSplit/>
          <w:cantSplit/>
        </w:trPr>
        <w:tc>
          <w:tcPr>
            <w:tcW w:type="dxa" w:w="2551"/>
            <w:gridSpan w:val="4"/>
            <w:shd w:val="clear" w:color="auto" w:fill="F7FAFC"/>
            <w:tcMar>
              <w:top w:w="60" w:type="dxa"/>
              <w:bottom w:w="60" w:type="dxa"/>
              <w:left w:w="130" w:type="dxa"/>
              <w:right w:w="130" w:type="dxa"/>
            </w:tcMar>
            <w:shd w:val="clear" w:color="auto" w:fill="F7FAFC"/>
            <w:tcMar>
              <w:top w:w="50" w:type="dxa"/>
              <w:bottom w:w="50" w:type="dxa"/>
              <w:left w:w="130" w:type="dxa"/>
              <w:right w:w="130" w:type="dxa"/>
            </w:tcMar>
            <w:tcMar>
              <w:top w:w="60" w:type="dxa"/>
              <w:bottom w:w="60" w:type="dxa"/>
              <w:left w:w="130" w:type="dxa"/>
              <w:right w:w="130" w:type="dxa"/>
            </w:tcMar>
            <w:tcMar>
              <w:top w:w="60" w:type="dxa"/>
              <w:bottom w:w="60" w:type="dxa"/>
              <w:left w:w="130" w:type="dxa"/>
              <w:right w:w="130" w:type="dxa"/>
            </w:tcMar>
            <w:tcMar>
              <w:top w:w="60" w:type="dxa"/>
              <w:bottom w:w="60" w:type="dxa"/>
              <w:left w:w="130" w:type="dxa"/>
              <w:right w:w="130" w:type="dxa"/>
            </w:tcMar>
            <w:tcMar>
              <w:top w:w="60" w:type="dxa"/>
              <w:bottom w:w="60" w:type="dxa"/>
              <w:left w:w="130" w:type="dxa"/>
              <w:right w:w="130" w:type="dxa"/>
            </w:tcMar>
          </w:tcPr>
          <w:p>
            <w:pPr>
              <w:spacing w:before="0" w:after="0"/>
              <w:jc w:val="left"/>
            </w:pPr>
            <w:r>
              <w:rPr>
                <w:rFonts w:ascii="Calibri" w:hAnsi="Calibri"/>
                <w:i/>
                <w:color w:val="718096"/>
                <w:sz w:val="18"/>
              </w:rPr>
              <w:t>* Benchmark ENTIC Hogares: 35.7% nacional (criterios de operatividad técnica sobre equipos plenamente funcionales).</w:t>
              <w:br/>
              <w:t>** La diferencia de 1.3 pp respecto al 79.3% oficial obedece a que la estimación directa se calcula sobre personas con respuesta en P1082, mientras el DANE aplica factores de calibración por no respuesta (en microdatos directos: 65.65% en P1075 y 78.02% en P1082).</w:t>
            </w:r>
          </w:p>
        </w:tc>
      </w:tr>
    </w:tbl>
    <w:tbl>
      <w:tblPr>
        <w:tblW w:type="auto" w:w="0"/>
        <w:jc w:val="center"/>
        <w:tblLayout w:type="fixed"/>
        <w:tblLook w:firstColumn="1" w:firstRow="1" w:lastColumn="0" w:lastRow="0" w:noHBand="0" w:noVBand="1" w:val="04A0"/>
      </w:tblPr>
      <w:tblGrid>
        <w:gridCol w:w="9405"/>
      </w:tblGrid>
      <w:tr>
        <w:tc>
          <w:tcPr>
            <w:tcW w:type="dxa" w:w="9406"/>
            <w:shd w:val="clear" w:color="auto" w:fill="F7FAFC"/>
            <w:tcMar>
              <w:top w:w="100" w:type="dxa"/>
              <w:bottom w:w="100" w:type="dxa"/>
              <w:left w:w="140" w:type="dxa"/>
              <w:right w:w="140" w:type="dxa"/>
            </w:tcMar>
            <w:tcBorders>
              <w:left w:val="single" w:sz="24" w:space="0" w:color="1B365D"/>
              <w:top w:val="none"/>
              <w:bottom w:val="none"/>
              <w:right w:val="none"/>
            </w:tcBorders>
          </w:tcPr>
          <w:p>
            <w:pPr>
              <w:spacing w:line="269" w:lineRule="auto" w:before="0" w:after="40"/>
            </w:pPr>
            <w:r>
              <w:rPr>
                <w:b/>
                <w:color w:val="1B365D"/>
                <w:sz w:val="19"/>
              </w:rPr>
              <w:t>Recuadro 1: Síntesis de Resultados del Resumen Ejecutivo</w:t>
              <w:br/>
            </w:r>
            <w:r>
              <w:rPr>
                <w:color w:val="2D3748"/>
                <w:sz w:val="18"/>
              </w:rPr>
              <w:t>1. Paradoja de conectividad: El 96.9% de hogares cuenta con usuarios vía celular, pero el 34.4% carece de servicio formal en la vivienda (P1075 = 65.6%), limitando usos laborales y educativos intensivos.</w:t>
              <w:br/>
              <w:t>2. Gradiente económico en equipamiento: La tenencia de computador cae de 74.8% en hogares de situación 'muy fácil' a 37.0% en 'muy difícil' (Δ = 37.8 pp; OR ajustado = 0.405, p &lt; 0.0001).</w:t>
              <w:br/>
              <w:t>3. Capital humano como predictor dominante: La educación superior del jefe de hogar multiplica por 6.71 la probabilidad de poseer computador (OR = 6.71), superando el efecto de ingreso y geografía.</w:t>
              <w:br/>
              <w:t>4. Disparidad territorial estadísticamente robusta: La distancia entre Casanare (71.3%) y Vaupés (14.5%) es de 4.9× puntual y ≥ 4.1× al contrastar intervalos de confianza al 95% ajustados por diseño complejo.</w:t>
            </w:r>
          </w:p>
        </w:tc>
      </w:tr>
    </w:tbl>
    <w:p>
      <w:r>
        <w:br w:type="page"/>
      </w:r>
    </w:p>
    <w:p>
      <w:pPr>
        <w:pStyle w:val="Heading1"/>
      </w:pPr>
      <w:r>
        <w:t>2. Marco de Investigación e Hipótesis</w:t>
      </w:r>
    </w:p>
    <w:p>
      <w:pPr>
        <w:spacing w:before="40" w:after="100"/>
        <w:ind w:left="454"/>
      </w:pPr>
      <w:r>
        <w:rPr>
          <w:i/>
          <w:color w:val="1B365D"/>
          <w:sz w:val="21"/>
        </w:rPr>
        <w:t>«¿Cómo se relacionan las condiciones socioeconómicas y el capital humano de los hogares colombianos con su acceso a servicios de Internet, su equipamiento de cómputo y el uso efectivo de la red?»</w:t>
      </w:r>
    </w:p>
    <w:p>
      <w:pPr>
        <w:spacing w:after="120"/>
      </w:pPr>
      <w:r>
        <w:t>• H₁ (Ingreso): Mayor dificultad económica reduce la tenencia de equipamiento y contratación formal (Confirmada; OR = 0.405).</w:t>
        <w:br/>
        <w:t>• H₂ (Zona): La ruralidad inhibe el equipamiento productivo aun cuando el móvil iguala la señal básica (Confirmada en dispositivos, OR = 0.413).</w:t>
        <w:br/>
        <w:t>• H₃ (Capital humano): La educación del jefe es el predictor con mayor magnitud condicional (Confirmada; OR = 6.71).</w:t>
        <w:br/>
        <w:t>• H₄ (Territorio): Heterogeneidad territorial estructural y estadísticamente significativa entre departamentos (Confirmada; CV = 30.0%).</w:t>
      </w:r>
    </w:p>
    <w:p>
      <w:pPr>
        <w:pStyle w:val="Heading1"/>
      </w:pPr>
      <w:r>
        <w:t>3. Metodología y Datos</w:t>
      </w:r>
    </w:p>
    <w:p>
      <w:pPr>
        <w:spacing w:after="120"/>
      </w:pPr>
      <w:r>
        <w:t>Se integraron cuatro módulos de la ECV 2024: Condiciones de vida (hogar), TIC, Educación y Diseño muestral. El marco probabilístico por conglomerados bietápico se corrigió mediante el factor FEX_C. La pérdida de eficiencia por el diseño complejo arroja un efecto de diseño de Kish global de DEFF = 3.72, equivalente a un tamaño muestral efectivo de n_efectivo = 22,942 hogares. Se estimaron modelos logísticos multivariados binarios con errores estándar robustos.</w:t>
      </w:r>
    </w:p>
    <w:p>
      <w:pPr>
        <w:pStyle w:val="Heading1"/>
      </w:pPr>
      <w:r>
        <w:t>4. Determinantes Econométricos (Modelos Logit Multivariados)</w:t>
      </w:r>
    </w:p>
    <w:p>
      <w:pPr>
        <w:spacing w:after="100"/>
      </w:pPr>
      <w:r>
        <w:t>La Tabla 2 presenta los Odds Ratios (OR) ajustados para los dos niveles analíticos: tenencia de computador en el hogar (Modelo A, n = 85,387) y probabilidad de uso individual de Internet (Modelo B, n = 214,607):</w:t>
      </w:r>
    </w:p>
    <w:tbl>
      <w:tblPr>
        <w:tblW w:type="auto" w:w="0"/>
        <w:tblLook w:firstColumn="1" w:firstRow="1" w:lastColumn="0" w:lastRow="0" w:noHBand="0" w:noVBand="1" w:val="04A0"/>
        <w:jc w:val="center"/>
        <w:tblBorders>
          <w:top w:val="single" w:sz="6" w:space="0" w:color="A0AEC0"/>
          <w:bottom w:val="single" w:sz="8" w:space="0" w:color="4A5568"/>
          <w:insideH w:val="single" w:sz="4" w:space="0" w:color="E2E8F0"/>
          <w:left w:val="none"/>
          <w:right w:val="none"/>
          <w:insideV w:val="none"/>
        </w:tblBorders>
        <w:tblBorders>
          <w:top w:val="single" w:sz="6" w:space="0" w:color="A0AEC0"/>
          <w:bottom w:val="single" w:sz="8" w:space="0" w:color="4A5568"/>
          <w:insideH w:val="single" w:sz="4" w:space="0" w:color="E2E8F0"/>
          <w:left w:val="none"/>
          <w:right w:val="none"/>
          <w:insideV w:val="none"/>
        </w:tblBorders>
      </w:tblPr>
      <w:tblGrid>
        <w:gridCol w:w="3135"/>
        <w:gridCol w:w="3135"/>
        <w:gridCol w:w="3135"/>
      </w:tblGrid>
      <w:tr>
        <w:trPr>
          <w:tblHeader/>
          <w:cantSplit/>
          <w:tblHeader/>
          <w:cantSplit/>
        </w:trPr>
        <w:tc>
          <w:tcPr>
            <w:tcW w:type="dxa" w:w="4252"/>
            <w:shd w:val="clear" w:color="auto" w:fill="EDF2F7"/>
            <w:tcMar>
              <w:top w:w="70" w:type="dxa"/>
              <w:bottom w:w="70" w:type="dxa"/>
              <w:left w:w="130" w:type="dxa"/>
              <w:right w:w="130" w:type="dxa"/>
            </w:tcMar>
            <w:shd w:val="clear" w:color="auto" w:fill="EDF2F7"/>
            <w:tcMar>
              <w:top w:w="70" w:type="dxa"/>
              <w:bottom w:w="70" w:type="dxa"/>
              <w:left w:w="130" w:type="dxa"/>
              <w:right w:w="130" w:type="dxa"/>
            </w:tcMar>
          </w:tcPr>
          <w:p>
            <w:pPr>
              <w:spacing w:before="0" w:after="0"/>
              <w:jc w:val="left"/>
            </w:pPr>
            <w:r>
              <w:rPr>
                <w:b/>
                <w:color w:val="1B365D"/>
                <w:sz w:val="18"/>
              </w:rPr>
              <w:t>Variable Explicativa Condicional</w:t>
            </w:r>
          </w:p>
        </w:tc>
        <w:tc>
          <w:tcPr>
            <w:tcW w:type="dxa" w:w="2551"/>
            <w:shd w:val="clear" w:color="auto" w:fill="EDF2F7"/>
            <w:tcMar>
              <w:top w:w="70" w:type="dxa"/>
              <w:bottom w:w="70" w:type="dxa"/>
              <w:left w:w="130" w:type="dxa"/>
              <w:right w:w="130" w:type="dxa"/>
            </w:tcMar>
            <w:shd w:val="clear" w:color="auto" w:fill="EDF2F7"/>
            <w:tcMar>
              <w:top w:w="70" w:type="dxa"/>
              <w:bottom w:w="70" w:type="dxa"/>
              <w:left w:w="130" w:type="dxa"/>
              <w:right w:w="130" w:type="dxa"/>
            </w:tcMar>
          </w:tcPr>
          <w:p>
            <w:pPr>
              <w:spacing w:before="0" w:after="0"/>
              <w:jc w:val="right"/>
            </w:pPr>
            <w:r>
              <w:rPr>
                <w:b/>
                <w:color w:val="1B365D"/>
                <w:sz w:val="18"/>
              </w:rPr>
              <w:t>Modelo A: Hogar (Computador)</w:t>
              <w:br/>
              <w:t>OR [IC 95%]</w:t>
            </w:r>
          </w:p>
        </w:tc>
        <w:tc>
          <w:tcPr>
            <w:tcW w:type="dxa" w:w="2551"/>
            <w:shd w:val="clear" w:color="auto" w:fill="EDF2F7"/>
            <w:tcMar>
              <w:top w:w="70" w:type="dxa"/>
              <w:bottom w:w="70" w:type="dxa"/>
              <w:left w:w="130" w:type="dxa"/>
              <w:right w:w="130" w:type="dxa"/>
            </w:tcMar>
            <w:shd w:val="clear" w:color="auto" w:fill="EDF2F7"/>
            <w:tcMar>
              <w:top w:w="70" w:type="dxa"/>
              <w:bottom w:w="70" w:type="dxa"/>
              <w:left w:w="130" w:type="dxa"/>
              <w:right w:w="130" w:type="dxa"/>
            </w:tcMar>
          </w:tcPr>
          <w:p>
            <w:pPr>
              <w:spacing w:before="0" w:after="0"/>
              <w:jc w:val="right"/>
            </w:pPr>
            <w:r>
              <w:rPr>
                <w:b/>
                <w:color w:val="1B365D"/>
                <w:sz w:val="18"/>
              </w:rPr>
              <w:t>Modelo B: Persona (Uso Internet)</w:t>
              <w:br/>
              <w:t>OR [IC 95%]</w:t>
            </w:r>
          </w:p>
        </w:tc>
      </w:tr>
      <w:tr>
        <w:trPr>
          <w:cantSplit/>
          <w:cantSplit/>
        </w:trPr>
        <w:tc>
          <w:tcPr>
            <w:tcW w:type="dxa" w:w="4252"/>
            <w:tcMar>
              <w:top w:w="55" w:type="dxa"/>
              <w:bottom w:w="55" w:type="dxa"/>
              <w:left w:w="130" w:type="dxa"/>
              <w:right w:w="130" w:type="dxa"/>
            </w:tcMar>
            <w:tcMar>
              <w:top w:w="55" w:type="dxa"/>
              <w:bottom w:w="55" w:type="dxa"/>
              <w:left w:w="130" w:type="dxa"/>
              <w:right w:w="130" w:type="dxa"/>
            </w:tcMar>
          </w:tcPr>
          <w:p>
            <w:pPr>
              <w:spacing w:before="0" w:after="0"/>
              <w:jc w:val="left"/>
            </w:pPr>
            <w:r>
              <w:rPr>
                <w:sz w:val="18"/>
              </w:rPr>
              <w:t>Educación Superior (vs. sin escolaridad)</w:t>
            </w:r>
          </w:p>
        </w:tc>
        <w:tc>
          <w:tcPr>
            <w:tcW w:type="dxa" w:w="2551"/>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6.71 [6.25 – 7.20]</w:t>
            </w:r>
          </w:p>
        </w:tc>
        <w:tc>
          <w:tcPr>
            <w:tcW w:type="dxa" w:w="2551"/>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16.92 [15.50 – 18.47]</w:t>
            </w:r>
          </w:p>
        </w:tc>
      </w:tr>
      <w:tr>
        <w:trPr>
          <w:cantSplit/>
          <w:cantSplit/>
        </w:trPr>
        <w:tc>
          <w:tcPr>
            <w:tcW w:type="dxa" w:w="4252"/>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left"/>
            </w:pPr>
            <w:r>
              <w:rPr>
                <w:sz w:val="18"/>
              </w:rPr>
              <w:t>Educación Media (vs. sin escolaridad)</w:t>
            </w:r>
          </w:p>
        </w:tc>
        <w:tc>
          <w:tcPr>
            <w:tcW w:type="dxa" w:w="2551"/>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2.13 [2.02 – 2.25]</w:t>
            </w:r>
          </w:p>
        </w:tc>
        <w:tc>
          <w:tcPr>
            <w:tcW w:type="dxa" w:w="2551"/>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5.82 [5.35 – 6.33]</w:t>
            </w:r>
          </w:p>
        </w:tc>
      </w:tr>
      <w:tr>
        <w:trPr>
          <w:cantSplit/>
          <w:cantSplit/>
        </w:trPr>
        <w:tc>
          <w:tcPr>
            <w:tcW w:type="dxa" w:w="4252"/>
            <w:tcMar>
              <w:top w:w="55" w:type="dxa"/>
              <w:bottom w:w="55" w:type="dxa"/>
              <w:left w:w="130" w:type="dxa"/>
              <w:right w:w="130" w:type="dxa"/>
            </w:tcMar>
            <w:tcMar>
              <w:top w:w="55" w:type="dxa"/>
              <w:bottom w:w="55" w:type="dxa"/>
              <w:left w:w="130" w:type="dxa"/>
              <w:right w:w="130" w:type="dxa"/>
            </w:tcMar>
          </w:tcPr>
          <w:p>
            <w:pPr>
              <w:spacing w:before="0" w:after="0"/>
              <w:jc w:val="left"/>
            </w:pPr>
            <w:r>
              <w:rPr>
                <w:sz w:val="18"/>
              </w:rPr>
              <w:t>Zona Rural (vs. cabecera urbana)</w:t>
            </w:r>
          </w:p>
        </w:tc>
        <w:tc>
          <w:tcPr>
            <w:tcW w:type="dxa" w:w="2551"/>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0.41 [0.39 – 0.43]</w:t>
            </w:r>
          </w:p>
        </w:tc>
        <w:tc>
          <w:tcPr>
            <w:tcW w:type="dxa" w:w="2551"/>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0.50 [0.49 – 0.52]</w:t>
            </w:r>
          </w:p>
        </w:tc>
      </w:tr>
      <w:tr>
        <w:trPr>
          <w:cantSplit/>
          <w:cantSplit/>
        </w:trPr>
        <w:tc>
          <w:tcPr>
            <w:tcW w:type="dxa" w:w="4252"/>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left"/>
            </w:pPr>
            <w:r>
              <w:rPr>
                <w:sz w:val="18"/>
              </w:rPr>
              <w:t>Situación Económica 'Muy difícil' (vs. fácil)</w:t>
            </w:r>
          </w:p>
        </w:tc>
        <w:tc>
          <w:tcPr>
            <w:tcW w:type="dxa" w:w="2551"/>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0.41 [0.38 – 0.43]</w:t>
            </w:r>
          </w:p>
        </w:tc>
        <w:tc>
          <w:tcPr>
            <w:tcW w:type="dxa" w:w="2551"/>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0.75 [0.72 – 0.78]</w:t>
            </w:r>
          </w:p>
        </w:tc>
      </w:tr>
      <w:tr>
        <w:trPr>
          <w:cantSplit/>
          <w:cantSplit/>
        </w:trPr>
        <w:tc>
          <w:tcPr>
            <w:tcW w:type="dxa" w:w="4252"/>
            <w:tcMar>
              <w:top w:w="55" w:type="dxa"/>
              <w:bottom w:w="55" w:type="dxa"/>
              <w:left w:w="130" w:type="dxa"/>
              <w:right w:w="130" w:type="dxa"/>
            </w:tcMar>
            <w:tcMar>
              <w:top w:w="55" w:type="dxa"/>
              <w:bottom w:w="55" w:type="dxa"/>
              <w:left w:w="130" w:type="dxa"/>
              <w:right w:w="130" w:type="dxa"/>
            </w:tcMar>
          </w:tcPr>
          <w:p>
            <w:pPr>
              <w:spacing w:before="0" w:after="0"/>
              <w:jc w:val="left"/>
            </w:pPr>
            <w:r>
              <w:rPr>
                <w:sz w:val="18"/>
              </w:rPr>
              <w:t>Pobreza Multidimensional Alta</w:t>
            </w:r>
          </w:p>
        </w:tc>
        <w:tc>
          <w:tcPr>
            <w:tcW w:type="dxa" w:w="2551"/>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0.68 [0.65 – 0.72]</w:t>
            </w:r>
          </w:p>
        </w:tc>
        <w:tc>
          <w:tcPr>
            <w:tcW w:type="dxa" w:w="2551"/>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w:t>
            </w:r>
          </w:p>
        </w:tc>
      </w:tr>
      <w:tr>
        <w:trPr>
          <w:cantSplit/>
          <w:cantSplit/>
        </w:trPr>
        <w:tc>
          <w:tcPr>
            <w:tcW w:type="dxa" w:w="4252"/>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left"/>
            </w:pPr>
            <w:r>
              <w:rPr>
                <w:sz w:val="18"/>
              </w:rPr>
              <w:t>Tenencia de Celular Propio</w:t>
            </w:r>
          </w:p>
        </w:tc>
        <w:tc>
          <w:tcPr>
            <w:tcW w:type="dxa" w:w="2551"/>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w:t>
            </w:r>
          </w:p>
        </w:tc>
        <w:tc>
          <w:tcPr>
            <w:tcW w:type="dxa" w:w="2551"/>
            <w:shd w:val="clear" w:color="auto" w:fill="F7FAFC"/>
            <w:tcMar>
              <w:top w:w="55" w:type="dxa"/>
              <w:bottom w:w="55" w:type="dxa"/>
              <w:left w:w="130" w:type="dxa"/>
              <w:right w:w="130" w:type="dxa"/>
            </w:tcMar>
            <w:tcMar>
              <w:top w:w="55" w:type="dxa"/>
              <w:bottom w:w="55" w:type="dxa"/>
              <w:left w:w="130" w:type="dxa"/>
              <w:right w:w="130" w:type="dxa"/>
            </w:tcMar>
          </w:tcPr>
          <w:p>
            <w:pPr>
              <w:spacing w:before="0" w:after="0"/>
              <w:jc w:val="right"/>
            </w:pPr>
            <w:r>
              <w:rPr>
                <w:sz w:val="18"/>
              </w:rPr>
              <w:t>4.28 [4.10 – 4.47]</w:t>
            </w:r>
          </w:p>
        </w:tc>
      </w:tr>
    </w:tbl>
    <w:p>
      <w:pPr>
        <w:keepNext w:val="0"/>
        <w:spacing w:before="40" w:after="80"/>
      </w:pPr>
      <w:r>
        <w:rPr>
          <w:rFonts w:ascii="Calibri" w:hAnsi="Calibri"/>
          <w:i/>
          <w:color w:val="718096"/>
          <w:sz w:val="16"/>
        </w:rPr>
        <w:t>Todos los coeficientes con p &lt; 0.0001. Errores estándar robustos corregidos por conglomerados. Hogares n = 85,387; Personas n = 214,607.</w:t>
      </w:r>
    </w:p>
    <w:p>
      <w:r>
        <w:br w:type="page"/>
      </w:r>
    </w:p>
    <w:p>
      <w:pPr>
        <w:pStyle w:val="Heading1"/>
      </w:pPr>
      <w:r>
        <w:t>5. Disparidades Territoriales e Intervalos de Confianza al 95%</w:t>
      </w:r>
    </w:p>
    <w:p>
      <w:pPr>
        <w:spacing w:after="100"/>
      </w:pPr>
      <w:r>
        <w:t>A fin de blindar las comparaciones interdepartamentales frente a las críticas de precisión en dominios con menor tamaño muestral, la Tabla 3 presenta las estimaciones de los departamentos extremos (Top 5 y Bottom 5 en tenencia de cómputo), incorporando el intervalo de confianza al 95% ajustado por el efecto de diseño muestral específico de cada entidad:</w:t>
      </w:r>
    </w:p>
    <w:tbl>
      <w:tblPr>
        <w:tblW w:type="auto" w:w="0"/>
        <w:jc w:val="center"/>
        <w:tblLook w:firstColumn="1" w:firstRow="1" w:lastColumn="0" w:lastRow="0" w:noHBand="0" w:noVBand="1" w:val="04A0"/>
        <w:tblBorders>
          <w:top w:val="single" w:sz="6" w:space="0" w:color="A0AEC0"/>
          <w:bottom w:val="single" w:sz="8" w:space="0" w:color="4A5568"/>
          <w:insideH w:val="single" w:sz="4" w:space="0" w:color="E2E8F0"/>
          <w:left w:val="none"/>
          <w:right w:val="none"/>
          <w:insideV w:val="none"/>
        </w:tblBorders>
      </w:tblPr>
      <w:tblGrid>
        <w:gridCol w:w="1568"/>
        <w:gridCol w:w="1568"/>
        <w:gridCol w:w="1568"/>
        <w:gridCol w:w="1568"/>
        <w:gridCol w:w="1568"/>
        <w:gridCol w:w="1568"/>
      </w:tblGrid>
      <w:tr>
        <w:trPr>
          <w:tblHeader/>
          <w:cantSplit/>
        </w:trPr>
        <w:tc>
          <w:tcPr>
            <w:tcW w:type="dxa" w:w="1701"/>
            <w:shd w:val="clear" w:color="auto" w:fill="EDF2F7"/>
            <w:tcMar>
              <w:top w:w="70" w:type="dxa"/>
              <w:bottom w:w="70" w:type="dxa"/>
              <w:left w:w="130" w:type="dxa"/>
              <w:right w:w="130" w:type="dxa"/>
            </w:tcMar>
          </w:tcPr>
          <w:p>
            <w:pPr>
              <w:spacing w:before="0" w:after="0"/>
              <w:jc w:val="left"/>
            </w:pPr>
            <w:r>
              <w:rPr>
                <w:b/>
                <w:color w:val="1B365D"/>
                <w:sz w:val="18"/>
              </w:rPr>
              <w:t>Departamento</w:t>
            </w:r>
          </w:p>
        </w:tc>
        <w:tc>
          <w:tcPr>
            <w:tcW w:type="dxa" w:w="1417"/>
            <w:shd w:val="clear" w:color="auto" w:fill="EDF2F7"/>
            <w:tcMar>
              <w:top w:w="70" w:type="dxa"/>
              <w:bottom w:w="70" w:type="dxa"/>
              <w:left w:w="130" w:type="dxa"/>
              <w:right w:w="130" w:type="dxa"/>
            </w:tcMar>
          </w:tcPr>
          <w:p>
            <w:pPr>
              <w:spacing w:before="0" w:after="0"/>
              <w:jc w:val="left"/>
            </w:pPr>
            <w:r>
              <w:rPr>
                <w:b/>
                <w:color w:val="1B365D"/>
                <w:sz w:val="18"/>
              </w:rPr>
              <w:t>Macro-región</w:t>
            </w:r>
          </w:p>
        </w:tc>
        <w:tc>
          <w:tcPr>
            <w:tcW w:type="dxa" w:w="1587"/>
            <w:shd w:val="clear" w:color="auto" w:fill="EDF2F7"/>
            <w:tcMar>
              <w:top w:w="70" w:type="dxa"/>
              <w:bottom w:w="70" w:type="dxa"/>
              <w:left w:w="130" w:type="dxa"/>
              <w:right w:w="130" w:type="dxa"/>
            </w:tcMar>
          </w:tcPr>
          <w:p>
            <w:pPr>
              <w:spacing w:before="0" w:after="0"/>
              <w:jc w:val="right"/>
            </w:pPr>
            <w:r>
              <w:rPr>
                <w:b/>
                <w:color w:val="1B365D"/>
                <w:sz w:val="18"/>
              </w:rPr>
              <w:t>Tasa Ponderada</w:t>
            </w:r>
          </w:p>
        </w:tc>
        <w:tc>
          <w:tcPr>
            <w:tcW w:type="dxa" w:w="2154"/>
            <w:shd w:val="clear" w:color="auto" w:fill="EDF2F7"/>
            <w:tcMar>
              <w:top w:w="70" w:type="dxa"/>
              <w:bottom w:w="70" w:type="dxa"/>
              <w:left w:w="130" w:type="dxa"/>
              <w:right w:w="130" w:type="dxa"/>
            </w:tcMar>
          </w:tcPr>
          <w:p>
            <w:pPr>
              <w:spacing w:before="0" w:after="0"/>
              <w:jc w:val="right"/>
            </w:pPr>
            <w:r>
              <w:rPr>
                <w:b/>
                <w:color w:val="1B365D"/>
                <w:sz w:val="18"/>
              </w:rPr>
              <w:t>IC 95% Ajustado (DEFF)</w:t>
            </w:r>
          </w:p>
        </w:tc>
        <w:tc>
          <w:tcPr>
            <w:tcW w:type="dxa" w:w="1247"/>
            <w:shd w:val="clear" w:color="auto" w:fill="EDF2F7"/>
            <w:tcMar>
              <w:top w:w="70" w:type="dxa"/>
              <w:bottom w:w="70" w:type="dxa"/>
              <w:left w:w="130" w:type="dxa"/>
              <w:right w:w="130" w:type="dxa"/>
            </w:tcMar>
          </w:tcPr>
          <w:p>
            <w:pPr>
              <w:spacing w:before="0" w:after="0"/>
              <w:jc w:val="right"/>
            </w:pPr>
            <w:r>
              <w:rPr>
                <w:b/>
                <w:color w:val="1B365D"/>
                <w:sz w:val="18"/>
              </w:rPr>
              <w:t>Muestra (n)</w:t>
            </w:r>
          </w:p>
        </w:tc>
        <w:tc>
          <w:tcPr>
            <w:tcW w:type="dxa" w:w="1247"/>
            <w:shd w:val="clear" w:color="auto" w:fill="EDF2F7"/>
            <w:tcMar>
              <w:top w:w="70" w:type="dxa"/>
              <w:bottom w:w="70" w:type="dxa"/>
              <w:left w:w="130" w:type="dxa"/>
              <w:right w:w="130" w:type="dxa"/>
            </w:tcMar>
          </w:tcPr>
          <w:p>
            <w:pPr>
              <w:spacing w:before="0" w:after="0"/>
              <w:jc w:val="right"/>
            </w:pPr>
            <w:r>
              <w:rPr>
                <w:b/>
                <w:color w:val="1B365D"/>
                <w:sz w:val="18"/>
              </w:rPr>
              <w:t>n Efectivo</w:t>
            </w:r>
          </w:p>
        </w:tc>
      </w:tr>
      <w:tr>
        <w:trPr>
          <w:cantSplit/>
        </w:trPr>
        <w:tc>
          <w:tcPr>
            <w:tcW w:type="dxa" w:w="1701"/>
            <w:tcMar>
              <w:top w:w="55" w:type="dxa"/>
              <w:bottom w:w="55" w:type="dxa"/>
              <w:left w:w="130" w:type="dxa"/>
              <w:right w:w="130" w:type="dxa"/>
            </w:tcMar>
          </w:tcPr>
          <w:p>
            <w:pPr>
              <w:spacing w:before="0" w:after="0"/>
              <w:jc w:val="left"/>
            </w:pPr>
            <w:r>
              <w:rPr>
                <w:sz w:val="18"/>
              </w:rPr>
              <w:t>1. Casanare</w:t>
            </w:r>
          </w:p>
        </w:tc>
        <w:tc>
          <w:tcPr>
            <w:tcW w:type="dxa" w:w="1417"/>
            <w:tcMar>
              <w:top w:w="55" w:type="dxa"/>
              <w:bottom w:w="55" w:type="dxa"/>
              <w:left w:w="130" w:type="dxa"/>
              <w:right w:w="130" w:type="dxa"/>
            </w:tcMar>
          </w:tcPr>
          <w:p>
            <w:pPr>
              <w:spacing w:before="0" w:after="0"/>
              <w:jc w:val="left"/>
            </w:pPr>
            <w:r>
              <w:rPr>
                <w:sz w:val="18"/>
              </w:rPr>
              <w:t>Orinoquía</w:t>
            </w:r>
          </w:p>
        </w:tc>
        <w:tc>
          <w:tcPr>
            <w:tcW w:type="dxa" w:w="1587"/>
            <w:tcMar>
              <w:top w:w="55" w:type="dxa"/>
              <w:bottom w:w="55" w:type="dxa"/>
              <w:left w:w="130" w:type="dxa"/>
              <w:right w:w="130" w:type="dxa"/>
            </w:tcMar>
          </w:tcPr>
          <w:p>
            <w:pPr>
              <w:spacing w:before="0" w:after="0"/>
              <w:jc w:val="right"/>
            </w:pPr>
            <w:r>
              <w:rPr>
                <w:sz w:val="18"/>
              </w:rPr>
              <w:t>71.3%</w:t>
            </w:r>
          </w:p>
        </w:tc>
        <w:tc>
          <w:tcPr>
            <w:tcW w:type="dxa" w:w="2154"/>
            <w:tcMar>
              <w:top w:w="55" w:type="dxa"/>
              <w:bottom w:w="55" w:type="dxa"/>
              <w:left w:w="130" w:type="dxa"/>
              <w:right w:w="130" w:type="dxa"/>
            </w:tcMar>
          </w:tcPr>
          <w:p>
            <w:pPr>
              <w:spacing w:before="0" w:after="0"/>
              <w:jc w:val="right"/>
            </w:pPr>
            <w:r>
              <w:rPr>
                <w:sz w:val="18"/>
              </w:rPr>
              <w:t>[69.1% – 73.5%]</w:t>
            </w:r>
          </w:p>
        </w:tc>
        <w:tc>
          <w:tcPr>
            <w:tcW w:type="dxa" w:w="1247"/>
            <w:tcMar>
              <w:top w:w="55" w:type="dxa"/>
              <w:bottom w:w="55" w:type="dxa"/>
              <w:left w:w="130" w:type="dxa"/>
              <w:right w:w="130" w:type="dxa"/>
            </w:tcMar>
          </w:tcPr>
          <w:p>
            <w:pPr>
              <w:spacing w:before="0" w:after="0"/>
              <w:jc w:val="right"/>
            </w:pPr>
            <w:r>
              <w:rPr>
                <w:sz w:val="18"/>
              </w:rPr>
              <w:t>2,291</w:t>
            </w:r>
          </w:p>
        </w:tc>
        <w:tc>
          <w:tcPr>
            <w:tcW w:type="dxa" w:w="1247"/>
            <w:tcMar>
              <w:top w:w="55" w:type="dxa"/>
              <w:bottom w:w="55" w:type="dxa"/>
              <w:left w:w="130" w:type="dxa"/>
              <w:right w:w="130" w:type="dxa"/>
            </w:tcMar>
          </w:tcPr>
          <w:p>
            <w:pPr>
              <w:spacing w:before="0" w:after="0"/>
              <w:jc w:val="right"/>
            </w:pPr>
            <w:r>
              <w:rPr>
                <w:sz w:val="18"/>
              </w:rPr>
              <w:t>1,632</w:t>
            </w:r>
          </w:p>
        </w:tc>
      </w:tr>
      <w:tr>
        <w:trPr>
          <w:cantSplit/>
        </w:trPr>
        <w:tc>
          <w:tcPr>
            <w:tcW w:type="dxa" w:w="1701"/>
            <w:tcMar>
              <w:top w:w="55" w:type="dxa"/>
              <w:bottom w:w="55" w:type="dxa"/>
              <w:left w:w="130" w:type="dxa"/>
              <w:right w:w="130" w:type="dxa"/>
            </w:tcMar>
          </w:tcPr>
          <w:p>
            <w:pPr>
              <w:spacing w:before="0" w:after="0"/>
              <w:jc w:val="left"/>
            </w:pPr>
            <w:r>
              <w:rPr>
                <w:sz w:val="18"/>
              </w:rPr>
              <w:t>2. Guaviare</w:t>
            </w:r>
          </w:p>
        </w:tc>
        <w:tc>
          <w:tcPr>
            <w:tcW w:type="dxa" w:w="1417"/>
            <w:tcMar>
              <w:top w:w="55" w:type="dxa"/>
              <w:bottom w:w="55" w:type="dxa"/>
              <w:left w:w="130" w:type="dxa"/>
              <w:right w:w="130" w:type="dxa"/>
            </w:tcMar>
          </w:tcPr>
          <w:p>
            <w:pPr>
              <w:spacing w:before="0" w:after="0"/>
              <w:jc w:val="left"/>
            </w:pPr>
            <w:r>
              <w:rPr>
                <w:sz w:val="18"/>
              </w:rPr>
              <w:t>Amazonía</w:t>
            </w:r>
          </w:p>
        </w:tc>
        <w:tc>
          <w:tcPr>
            <w:tcW w:type="dxa" w:w="1587"/>
            <w:tcMar>
              <w:top w:w="55" w:type="dxa"/>
              <w:bottom w:w="55" w:type="dxa"/>
              <w:left w:w="130" w:type="dxa"/>
              <w:right w:w="130" w:type="dxa"/>
            </w:tcMar>
          </w:tcPr>
          <w:p>
            <w:pPr>
              <w:spacing w:before="0" w:after="0"/>
              <w:jc w:val="right"/>
            </w:pPr>
            <w:r>
              <w:rPr>
                <w:sz w:val="18"/>
              </w:rPr>
              <w:t>70.5%</w:t>
            </w:r>
          </w:p>
        </w:tc>
        <w:tc>
          <w:tcPr>
            <w:tcW w:type="dxa" w:w="2154"/>
            <w:tcMar>
              <w:top w:w="55" w:type="dxa"/>
              <w:bottom w:w="55" w:type="dxa"/>
              <w:left w:w="130" w:type="dxa"/>
              <w:right w:w="130" w:type="dxa"/>
            </w:tcMar>
          </w:tcPr>
          <w:p>
            <w:pPr>
              <w:spacing w:before="0" w:after="0"/>
              <w:jc w:val="right"/>
            </w:pPr>
            <w:r>
              <w:rPr>
                <w:sz w:val="18"/>
              </w:rPr>
              <w:t>[68.4% – 72.7%]</w:t>
            </w:r>
          </w:p>
        </w:tc>
        <w:tc>
          <w:tcPr>
            <w:tcW w:type="dxa" w:w="1247"/>
            <w:tcMar>
              <w:top w:w="55" w:type="dxa"/>
              <w:bottom w:w="55" w:type="dxa"/>
              <w:left w:w="130" w:type="dxa"/>
              <w:right w:w="130" w:type="dxa"/>
            </w:tcMar>
          </w:tcPr>
          <w:p>
            <w:pPr>
              <w:spacing w:before="0" w:after="0"/>
              <w:jc w:val="right"/>
            </w:pPr>
            <w:r>
              <w:rPr>
                <w:sz w:val="18"/>
              </w:rPr>
              <w:t>2,304</w:t>
            </w:r>
          </w:p>
        </w:tc>
        <w:tc>
          <w:tcPr>
            <w:tcW w:type="dxa" w:w="1247"/>
            <w:tcMar>
              <w:top w:w="55" w:type="dxa"/>
              <w:bottom w:w="55" w:type="dxa"/>
              <w:left w:w="130" w:type="dxa"/>
              <w:right w:w="130" w:type="dxa"/>
            </w:tcMar>
          </w:tcPr>
          <w:p>
            <w:pPr>
              <w:spacing w:before="0" w:after="0"/>
              <w:jc w:val="right"/>
            </w:pPr>
            <w:r>
              <w:rPr>
                <w:sz w:val="18"/>
              </w:rPr>
              <w:t>1,774</w:t>
            </w:r>
          </w:p>
        </w:tc>
      </w:tr>
      <w:tr>
        <w:trPr>
          <w:cantSplit/>
        </w:trPr>
        <w:tc>
          <w:tcPr>
            <w:tcW w:type="dxa" w:w="1701"/>
            <w:tcMar>
              <w:top w:w="55" w:type="dxa"/>
              <w:bottom w:w="55" w:type="dxa"/>
              <w:left w:w="130" w:type="dxa"/>
              <w:right w:w="130" w:type="dxa"/>
            </w:tcMar>
          </w:tcPr>
          <w:p>
            <w:pPr>
              <w:spacing w:before="0" w:after="0"/>
              <w:jc w:val="left"/>
            </w:pPr>
            <w:r>
              <w:rPr>
                <w:sz w:val="18"/>
              </w:rPr>
              <w:t>3. Huila</w:t>
            </w:r>
          </w:p>
        </w:tc>
        <w:tc>
          <w:tcPr>
            <w:tcW w:type="dxa" w:w="1417"/>
            <w:tcMar>
              <w:top w:w="55" w:type="dxa"/>
              <w:bottom w:w="55" w:type="dxa"/>
              <w:left w:w="130" w:type="dxa"/>
              <w:right w:w="130" w:type="dxa"/>
            </w:tcMar>
          </w:tcPr>
          <w:p>
            <w:pPr>
              <w:spacing w:before="0" w:after="0"/>
              <w:jc w:val="left"/>
            </w:pPr>
            <w:r>
              <w:rPr>
                <w:sz w:val="18"/>
              </w:rPr>
              <w:t>Andina</w:t>
            </w:r>
          </w:p>
        </w:tc>
        <w:tc>
          <w:tcPr>
            <w:tcW w:type="dxa" w:w="1587"/>
            <w:tcMar>
              <w:top w:w="55" w:type="dxa"/>
              <w:bottom w:w="55" w:type="dxa"/>
              <w:left w:w="130" w:type="dxa"/>
              <w:right w:w="130" w:type="dxa"/>
            </w:tcMar>
          </w:tcPr>
          <w:p>
            <w:pPr>
              <w:spacing w:before="0" w:after="0"/>
              <w:jc w:val="right"/>
            </w:pPr>
            <w:r>
              <w:rPr>
                <w:sz w:val="18"/>
              </w:rPr>
              <w:t>69.1%</w:t>
            </w:r>
          </w:p>
        </w:tc>
        <w:tc>
          <w:tcPr>
            <w:tcW w:type="dxa" w:w="2154"/>
            <w:tcMar>
              <w:top w:w="55" w:type="dxa"/>
              <w:bottom w:w="55" w:type="dxa"/>
              <w:left w:w="130" w:type="dxa"/>
              <w:right w:w="130" w:type="dxa"/>
            </w:tcMar>
          </w:tcPr>
          <w:p>
            <w:pPr>
              <w:spacing w:before="0" w:after="0"/>
              <w:jc w:val="right"/>
            </w:pPr>
            <w:r>
              <w:rPr>
                <w:sz w:val="18"/>
              </w:rPr>
              <w:t>[67.1% – 71.1%]</w:t>
            </w:r>
          </w:p>
        </w:tc>
        <w:tc>
          <w:tcPr>
            <w:tcW w:type="dxa" w:w="1247"/>
            <w:tcMar>
              <w:top w:w="55" w:type="dxa"/>
              <w:bottom w:w="55" w:type="dxa"/>
              <w:left w:w="130" w:type="dxa"/>
              <w:right w:w="130" w:type="dxa"/>
            </w:tcMar>
          </w:tcPr>
          <w:p>
            <w:pPr>
              <w:spacing w:before="0" w:after="0"/>
              <w:jc w:val="right"/>
            </w:pPr>
            <w:r>
              <w:rPr>
                <w:sz w:val="18"/>
              </w:rPr>
              <w:t>2,717</w:t>
            </w:r>
          </w:p>
        </w:tc>
        <w:tc>
          <w:tcPr>
            <w:tcW w:type="dxa" w:w="1247"/>
            <w:tcMar>
              <w:top w:w="55" w:type="dxa"/>
              <w:bottom w:w="55" w:type="dxa"/>
              <w:left w:w="130" w:type="dxa"/>
              <w:right w:w="130" w:type="dxa"/>
            </w:tcMar>
          </w:tcPr>
          <w:p>
            <w:pPr>
              <w:spacing w:before="0" w:after="0"/>
              <w:jc w:val="right"/>
            </w:pPr>
            <w:r>
              <w:rPr>
                <w:sz w:val="18"/>
              </w:rPr>
              <w:t>2,104</w:t>
            </w:r>
          </w:p>
        </w:tc>
      </w:tr>
      <w:tr>
        <w:trPr>
          <w:cantSplit/>
        </w:trPr>
        <w:tc>
          <w:tcPr>
            <w:tcW w:type="dxa" w:w="1701"/>
            <w:tcMar>
              <w:top w:w="55" w:type="dxa"/>
              <w:bottom w:w="55" w:type="dxa"/>
              <w:left w:w="130" w:type="dxa"/>
              <w:right w:w="130" w:type="dxa"/>
            </w:tcMar>
          </w:tcPr>
          <w:p>
            <w:pPr>
              <w:spacing w:before="0" w:after="0"/>
              <w:jc w:val="left"/>
            </w:pPr>
            <w:r>
              <w:rPr>
                <w:sz w:val="18"/>
              </w:rPr>
              <w:t>4. Arauca</w:t>
            </w:r>
          </w:p>
        </w:tc>
        <w:tc>
          <w:tcPr>
            <w:tcW w:type="dxa" w:w="1417"/>
            <w:tcMar>
              <w:top w:w="55" w:type="dxa"/>
              <w:bottom w:w="55" w:type="dxa"/>
              <w:left w:w="130" w:type="dxa"/>
              <w:right w:w="130" w:type="dxa"/>
            </w:tcMar>
          </w:tcPr>
          <w:p>
            <w:pPr>
              <w:spacing w:before="0" w:after="0"/>
              <w:jc w:val="left"/>
            </w:pPr>
            <w:r>
              <w:rPr>
                <w:sz w:val="18"/>
              </w:rPr>
              <w:t>Orinoquía</w:t>
            </w:r>
          </w:p>
        </w:tc>
        <w:tc>
          <w:tcPr>
            <w:tcW w:type="dxa" w:w="1587"/>
            <w:tcMar>
              <w:top w:w="55" w:type="dxa"/>
              <w:bottom w:w="55" w:type="dxa"/>
              <w:left w:w="130" w:type="dxa"/>
              <w:right w:w="130" w:type="dxa"/>
            </w:tcMar>
          </w:tcPr>
          <w:p>
            <w:pPr>
              <w:spacing w:before="0" w:after="0"/>
              <w:jc w:val="right"/>
            </w:pPr>
            <w:r>
              <w:rPr>
                <w:sz w:val="18"/>
              </w:rPr>
              <w:t>68.6%</w:t>
            </w:r>
          </w:p>
        </w:tc>
        <w:tc>
          <w:tcPr>
            <w:tcW w:type="dxa" w:w="2154"/>
            <w:tcMar>
              <w:top w:w="55" w:type="dxa"/>
              <w:bottom w:w="55" w:type="dxa"/>
              <w:left w:w="130" w:type="dxa"/>
              <w:right w:w="130" w:type="dxa"/>
            </w:tcMar>
          </w:tcPr>
          <w:p>
            <w:pPr>
              <w:spacing w:before="0" w:after="0"/>
              <w:jc w:val="right"/>
            </w:pPr>
            <w:r>
              <w:rPr>
                <w:sz w:val="18"/>
              </w:rPr>
              <w:t>[66.4% – 70.8%]</w:t>
            </w:r>
          </w:p>
        </w:tc>
        <w:tc>
          <w:tcPr>
            <w:tcW w:type="dxa" w:w="1247"/>
            <w:tcMar>
              <w:top w:w="55" w:type="dxa"/>
              <w:bottom w:w="55" w:type="dxa"/>
              <w:left w:w="130" w:type="dxa"/>
              <w:right w:w="130" w:type="dxa"/>
            </w:tcMar>
          </w:tcPr>
          <w:p>
            <w:pPr>
              <w:spacing w:before="0" w:after="0"/>
              <w:jc w:val="right"/>
            </w:pPr>
            <w:r>
              <w:rPr>
                <w:sz w:val="18"/>
              </w:rPr>
              <w:t>2,532</w:t>
            </w:r>
          </w:p>
        </w:tc>
        <w:tc>
          <w:tcPr>
            <w:tcW w:type="dxa" w:w="1247"/>
            <w:tcMar>
              <w:top w:w="55" w:type="dxa"/>
              <w:bottom w:w="55" w:type="dxa"/>
              <w:left w:w="130" w:type="dxa"/>
              <w:right w:w="130" w:type="dxa"/>
            </w:tcMar>
          </w:tcPr>
          <w:p>
            <w:pPr>
              <w:spacing w:before="0" w:after="0"/>
              <w:jc w:val="right"/>
            </w:pPr>
            <w:r>
              <w:rPr>
                <w:sz w:val="18"/>
              </w:rPr>
              <w:t>1,723</w:t>
            </w:r>
          </w:p>
        </w:tc>
      </w:tr>
      <w:tr>
        <w:trPr>
          <w:cantSplit/>
        </w:trPr>
        <w:tc>
          <w:tcPr>
            <w:tcW w:type="dxa" w:w="1701"/>
            <w:tcMar>
              <w:top w:w="55" w:type="dxa"/>
              <w:bottom w:w="55" w:type="dxa"/>
              <w:left w:w="130" w:type="dxa"/>
              <w:right w:w="130" w:type="dxa"/>
            </w:tcMar>
          </w:tcPr>
          <w:p>
            <w:pPr>
              <w:spacing w:before="0" w:after="0"/>
              <w:jc w:val="left"/>
            </w:pPr>
            <w:r>
              <w:rPr>
                <w:sz w:val="18"/>
              </w:rPr>
              <w:t>5. Meta</w:t>
            </w:r>
          </w:p>
        </w:tc>
        <w:tc>
          <w:tcPr>
            <w:tcW w:type="dxa" w:w="1417"/>
            <w:tcMar>
              <w:top w:w="55" w:type="dxa"/>
              <w:bottom w:w="55" w:type="dxa"/>
              <w:left w:w="130" w:type="dxa"/>
              <w:right w:w="130" w:type="dxa"/>
            </w:tcMar>
          </w:tcPr>
          <w:p>
            <w:pPr>
              <w:spacing w:before="0" w:after="0"/>
              <w:jc w:val="left"/>
            </w:pPr>
            <w:r>
              <w:rPr>
                <w:sz w:val="18"/>
              </w:rPr>
              <w:t>Orinoquía</w:t>
            </w:r>
          </w:p>
        </w:tc>
        <w:tc>
          <w:tcPr>
            <w:tcW w:type="dxa" w:w="1587"/>
            <w:tcMar>
              <w:top w:w="55" w:type="dxa"/>
              <w:bottom w:w="55" w:type="dxa"/>
              <w:left w:w="130" w:type="dxa"/>
              <w:right w:w="130" w:type="dxa"/>
            </w:tcMar>
          </w:tcPr>
          <w:p>
            <w:pPr>
              <w:spacing w:before="0" w:after="0"/>
              <w:jc w:val="right"/>
            </w:pPr>
            <w:r>
              <w:rPr>
                <w:sz w:val="18"/>
              </w:rPr>
              <w:t>68.6%</w:t>
            </w:r>
          </w:p>
        </w:tc>
        <w:tc>
          <w:tcPr>
            <w:tcW w:type="dxa" w:w="2154"/>
            <w:tcMar>
              <w:top w:w="55" w:type="dxa"/>
              <w:bottom w:w="55" w:type="dxa"/>
              <w:left w:w="130" w:type="dxa"/>
              <w:right w:w="130" w:type="dxa"/>
            </w:tcMar>
          </w:tcPr>
          <w:p>
            <w:pPr>
              <w:spacing w:before="0" w:after="0"/>
              <w:jc w:val="right"/>
            </w:pPr>
            <w:r>
              <w:rPr>
                <w:sz w:val="18"/>
              </w:rPr>
              <w:t>[66.4% – 70.8%]</w:t>
            </w:r>
          </w:p>
        </w:tc>
        <w:tc>
          <w:tcPr>
            <w:tcW w:type="dxa" w:w="1247"/>
            <w:tcMar>
              <w:top w:w="55" w:type="dxa"/>
              <w:bottom w:w="55" w:type="dxa"/>
              <w:left w:w="130" w:type="dxa"/>
              <w:right w:w="130" w:type="dxa"/>
            </w:tcMar>
          </w:tcPr>
          <w:p>
            <w:pPr>
              <w:spacing w:before="0" w:after="0"/>
              <w:jc w:val="right"/>
            </w:pPr>
            <w:r>
              <w:rPr>
                <w:sz w:val="18"/>
              </w:rPr>
              <w:t>2,852</w:t>
            </w:r>
          </w:p>
        </w:tc>
        <w:tc>
          <w:tcPr>
            <w:tcW w:type="dxa" w:w="1247"/>
            <w:tcMar>
              <w:top w:w="55" w:type="dxa"/>
              <w:bottom w:w="55" w:type="dxa"/>
              <w:left w:w="130" w:type="dxa"/>
              <w:right w:w="130" w:type="dxa"/>
            </w:tcMar>
          </w:tcPr>
          <w:p>
            <w:pPr>
              <w:spacing w:before="0" w:after="0"/>
              <w:jc w:val="right"/>
            </w:pPr>
            <w:r>
              <w:rPr>
                <w:sz w:val="18"/>
              </w:rPr>
              <w:t>1,708</w:t>
            </w:r>
          </w:p>
        </w:tc>
      </w:tr>
      <w:tr>
        <w:trPr>
          <w:cantSplit/>
        </w:trPr>
        <w:tc>
          <w:tcPr>
            <w:tcW w:type="dxa" w:w="1701"/>
            <w:shd w:val="clear" w:color="auto" w:fill="CBD5E0"/>
            <w:tcMar>
              <w:top w:w="55" w:type="dxa"/>
              <w:bottom w:w="55" w:type="dxa"/>
              <w:left w:w="130" w:type="dxa"/>
              <w:right w:w="130" w:type="dxa"/>
            </w:tcMar>
          </w:tcPr>
          <w:p>
            <w:pPr>
              <w:spacing w:before="0" w:after="0"/>
              <w:jc w:val="left"/>
            </w:pPr>
            <w:r>
              <w:rPr>
                <w:b/>
                <w:color w:val="1B365D"/>
                <w:sz w:val="18"/>
              </w:rPr>
              <w:t>— Media Nacional —</w:t>
            </w:r>
          </w:p>
        </w:tc>
        <w:tc>
          <w:tcPr>
            <w:tcW w:type="dxa" w:w="1417"/>
            <w:shd w:val="clear" w:color="auto" w:fill="CBD5E0"/>
            <w:tcMar>
              <w:top w:w="55" w:type="dxa"/>
              <w:bottom w:w="55" w:type="dxa"/>
              <w:left w:w="130" w:type="dxa"/>
              <w:right w:w="130" w:type="dxa"/>
            </w:tcMar>
          </w:tcPr>
          <w:p>
            <w:pPr>
              <w:spacing w:before="0" w:after="0"/>
              <w:jc w:val="left"/>
            </w:pPr>
            <w:r>
              <w:rPr>
                <w:b/>
                <w:color w:val="1B365D"/>
                <w:sz w:val="18"/>
              </w:rPr>
              <w:t>Total País</w:t>
            </w:r>
          </w:p>
        </w:tc>
        <w:tc>
          <w:tcPr>
            <w:tcW w:type="dxa" w:w="1587"/>
            <w:shd w:val="clear" w:color="auto" w:fill="CBD5E0"/>
            <w:tcMar>
              <w:top w:w="55" w:type="dxa"/>
              <w:bottom w:w="55" w:type="dxa"/>
              <w:left w:w="130" w:type="dxa"/>
              <w:right w:w="130" w:type="dxa"/>
            </w:tcMar>
          </w:tcPr>
          <w:p>
            <w:pPr>
              <w:spacing w:before="0" w:after="0"/>
              <w:jc w:val="right"/>
            </w:pPr>
            <w:r>
              <w:rPr>
                <w:b/>
                <w:color w:val="1B365D"/>
                <w:sz w:val="18"/>
              </w:rPr>
              <w:t>50.3%</w:t>
            </w:r>
          </w:p>
        </w:tc>
        <w:tc>
          <w:tcPr>
            <w:tcW w:type="dxa" w:w="2154"/>
            <w:shd w:val="clear" w:color="auto" w:fill="CBD5E0"/>
            <w:tcMar>
              <w:top w:w="55" w:type="dxa"/>
              <w:bottom w:w="55" w:type="dxa"/>
              <w:left w:w="130" w:type="dxa"/>
              <w:right w:w="130" w:type="dxa"/>
            </w:tcMar>
          </w:tcPr>
          <w:p>
            <w:pPr>
              <w:spacing w:before="0" w:after="0"/>
              <w:jc w:val="right"/>
            </w:pPr>
            <w:r>
              <w:rPr>
                <w:b/>
                <w:color w:val="1B365D"/>
                <w:sz w:val="18"/>
              </w:rPr>
              <w:t>[49.8% – 50.8%]</w:t>
            </w:r>
          </w:p>
        </w:tc>
        <w:tc>
          <w:tcPr>
            <w:tcW w:type="dxa" w:w="1247"/>
            <w:shd w:val="clear" w:color="auto" w:fill="CBD5E0"/>
            <w:tcMar>
              <w:top w:w="55" w:type="dxa"/>
              <w:bottom w:w="55" w:type="dxa"/>
              <w:left w:w="130" w:type="dxa"/>
              <w:right w:w="130" w:type="dxa"/>
            </w:tcMar>
          </w:tcPr>
          <w:p>
            <w:pPr>
              <w:spacing w:before="0" w:after="0"/>
              <w:jc w:val="right"/>
            </w:pPr>
            <w:r>
              <w:rPr>
                <w:b/>
                <w:color w:val="1B365D"/>
                <w:sz w:val="18"/>
              </w:rPr>
              <w:t>85,387</w:t>
            </w:r>
          </w:p>
        </w:tc>
        <w:tc>
          <w:tcPr>
            <w:tcW w:type="dxa" w:w="1247"/>
            <w:shd w:val="clear" w:color="auto" w:fill="CBD5E0"/>
            <w:tcMar>
              <w:top w:w="55" w:type="dxa"/>
              <w:bottom w:w="55" w:type="dxa"/>
              <w:left w:w="130" w:type="dxa"/>
              <w:right w:w="130" w:type="dxa"/>
            </w:tcMar>
          </w:tcPr>
          <w:p>
            <w:pPr>
              <w:spacing w:before="0" w:after="0"/>
              <w:jc w:val="right"/>
            </w:pPr>
            <w:r>
              <w:rPr>
                <w:b/>
                <w:color w:val="1B365D"/>
                <w:sz w:val="18"/>
              </w:rPr>
              <w:t>22,942</w:t>
            </w:r>
          </w:p>
        </w:tc>
      </w:tr>
      <w:tr>
        <w:trPr>
          <w:cantSplit/>
        </w:trPr>
        <w:tc>
          <w:tcPr>
            <w:tcW w:type="dxa" w:w="1701"/>
            <w:tcMar>
              <w:top w:w="55" w:type="dxa"/>
              <w:bottom w:w="55" w:type="dxa"/>
              <w:left w:w="130" w:type="dxa"/>
              <w:right w:w="130" w:type="dxa"/>
            </w:tcMar>
          </w:tcPr>
          <w:p>
            <w:pPr>
              <w:spacing w:before="0" w:after="0"/>
              <w:jc w:val="left"/>
            </w:pPr>
            <w:r>
              <w:rPr>
                <w:sz w:val="18"/>
              </w:rPr>
              <w:t>29. Amazonas</w:t>
            </w:r>
          </w:p>
        </w:tc>
        <w:tc>
          <w:tcPr>
            <w:tcW w:type="dxa" w:w="1417"/>
            <w:tcMar>
              <w:top w:w="55" w:type="dxa"/>
              <w:bottom w:w="55" w:type="dxa"/>
              <w:left w:w="130" w:type="dxa"/>
              <w:right w:w="130" w:type="dxa"/>
            </w:tcMar>
          </w:tcPr>
          <w:p>
            <w:pPr>
              <w:spacing w:before="0" w:after="0"/>
              <w:jc w:val="left"/>
            </w:pPr>
            <w:r>
              <w:rPr>
                <w:sz w:val="18"/>
              </w:rPr>
              <w:t>Amazonía</w:t>
            </w:r>
          </w:p>
        </w:tc>
        <w:tc>
          <w:tcPr>
            <w:tcW w:type="dxa" w:w="1587"/>
            <w:tcMar>
              <w:top w:w="55" w:type="dxa"/>
              <w:bottom w:w="55" w:type="dxa"/>
              <w:left w:w="130" w:type="dxa"/>
              <w:right w:w="130" w:type="dxa"/>
            </w:tcMar>
          </w:tcPr>
          <w:p>
            <w:pPr>
              <w:spacing w:before="0" w:after="0"/>
              <w:jc w:val="right"/>
            </w:pPr>
            <w:r>
              <w:rPr>
                <w:sz w:val="18"/>
              </w:rPr>
              <w:t>31.4%</w:t>
            </w:r>
          </w:p>
        </w:tc>
        <w:tc>
          <w:tcPr>
            <w:tcW w:type="dxa" w:w="2154"/>
            <w:tcMar>
              <w:top w:w="55" w:type="dxa"/>
              <w:bottom w:w="55" w:type="dxa"/>
              <w:left w:w="130" w:type="dxa"/>
              <w:right w:w="130" w:type="dxa"/>
            </w:tcMar>
          </w:tcPr>
          <w:p>
            <w:pPr>
              <w:spacing w:before="0" w:after="0"/>
              <w:jc w:val="right"/>
            </w:pPr>
            <w:r>
              <w:rPr>
                <w:sz w:val="18"/>
              </w:rPr>
              <w:t>[28.2% – 34.6%]</w:t>
            </w:r>
          </w:p>
        </w:tc>
        <w:tc>
          <w:tcPr>
            <w:tcW w:type="dxa" w:w="1247"/>
            <w:tcMar>
              <w:top w:w="55" w:type="dxa"/>
              <w:bottom w:w="55" w:type="dxa"/>
              <w:left w:w="130" w:type="dxa"/>
              <w:right w:w="130" w:type="dxa"/>
            </w:tcMar>
          </w:tcPr>
          <w:p>
            <w:pPr>
              <w:spacing w:before="0" w:after="0"/>
              <w:jc w:val="right"/>
            </w:pPr>
            <w:r>
              <w:rPr>
                <w:sz w:val="18"/>
              </w:rPr>
              <w:t>1,493</w:t>
            </w:r>
          </w:p>
        </w:tc>
        <w:tc>
          <w:tcPr>
            <w:tcW w:type="dxa" w:w="1247"/>
            <w:tcMar>
              <w:top w:w="55" w:type="dxa"/>
              <w:bottom w:w="55" w:type="dxa"/>
              <w:left w:w="130" w:type="dxa"/>
              <w:right w:w="130" w:type="dxa"/>
            </w:tcMar>
          </w:tcPr>
          <w:p>
            <w:pPr>
              <w:spacing w:before="0" w:after="0"/>
              <w:jc w:val="right"/>
            </w:pPr>
            <w:r>
              <w:rPr>
                <w:sz w:val="18"/>
              </w:rPr>
              <w:t>796</w:t>
            </w:r>
          </w:p>
        </w:tc>
      </w:tr>
      <w:tr>
        <w:trPr>
          <w:cantSplit/>
        </w:trPr>
        <w:tc>
          <w:tcPr>
            <w:tcW w:type="dxa" w:w="1701"/>
            <w:tcMar>
              <w:top w:w="55" w:type="dxa"/>
              <w:bottom w:w="55" w:type="dxa"/>
              <w:left w:w="130" w:type="dxa"/>
              <w:right w:w="130" w:type="dxa"/>
            </w:tcMar>
          </w:tcPr>
          <w:p>
            <w:pPr>
              <w:spacing w:before="0" w:after="0"/>
              <w:jc w:val="left"/>
            </w:pPr>
            <w:r>
              <w:rPr>
                <w:sz w:val="18"/>
              </w:rPr>
              <w:t>30. La Guajira</w:t>
            </w:r>
          </w:p>
        </w:tc>
        <w:tc>
          <w:tcPr>
            <w:tcW w:type="dxa" w:w="1417"/>
            <w:tcMar>
              <w:top w:w="55" w:type="dxa"/>
              <w:bottom w:w="55" w:type="dxa"/>
              <w:left w:w="130" w:type="dxa"/>
              <w:right w:w="130" w:type="dxa"/>
            </w:tcMar>
          </w:tcPr>
          <w:p>
            <w:pPr>
              <w:spacing w:before="0" w:after="0"/>
              <w:jc w:val="left"/>
            </w:pPr>
            <w:r>
              <w:rPr>
                <w:sz w:val="18"/>
              </w:rPr>
              <w:t>Caribe</w:t>
            </w:r>
          </w:p>
        </w:tc>
        <w:tc>
          <w:tcPr>
            <w:tcW w:type="dxa" w:w="1587"/>
            <w:tcMar>
              <w:top w:w="55" w:type="dxa"/>
              <w:bottom w:w="55" w:type="dxa"/>
              <w:left w:w="130" w:type="dxa"/>
              <w:right w:w="130" w:type="dxa"/>
            </w:tcMar>
          </w:tcPr>
          <w:p>
            <w:pPr>
              <w:spacing w:before="0" w:after="0"/>
              <w:jc w:val="right"/>
            </w:pPr>
            <w:r>
              <w:rPr>
                <w:sz w:val="18"/>
              </w:rPr>
              <w:t>29.9%</w:t>
            </w:r>
          </w:p>
        </w:tc>
        <w:tc>
          <w:tcPr>
            <w:tcW w:type="dxa" w:w="2154"/>
            <w:tcMar>
              <w:top w:w="55" w:type="dxa"/>
              <w:bottom w:w="55" w:type="dxa"/>
              <w:left w:w="130" w:type="dxa"/>
              <w:right w:w="130" w:type="dxa"/>
            </w:tcMar>
          </w:tcPr>
          <w:p>
            <w:pPr>
              <w:spacing w:before="0" w:after="0"/>
              <w:jc w:val="right"/>
            </w:pPr>
            <w:r>
              <w:rPr>
                <w:sz w:val="18"/>
              </w:rPr>
              <w:t>[27.9% – 32.0%]</w:t>
            </w:r>
          </w:p>
        </w:tc>
        <w:tc>
          <w:tcPr>
            <w:tcW w:type="dxa" w:w="1247"/>
            <w:tcMar>
              <w:top w:w="55" w:type="dxa"/>
              <w:bottom w:w="55" w:type="dxa"/>
              <w:left w:w="130" w:type="dxa"/>
              <w:right w:w="130" w:type="dxa"/>
            </w:tcMar>
          </w:tcPr>
          <w:p>
            <w:pPr>
              <w:spacing w:before="0" w:after="0"/>
              <w:jc w:val="right"/>
            </w:pPr>
            <w:r>
              <w:rPr>
                <w:sz w:val="18"/>
              </w:rPr>
              <w:t>2,734</w:t>
            </w:r>
          </w:p>
        </w:tc>
        <w:tc>
          <w:tcPr>
            <w:tcW w:type="dxa" w:w="1247"/>
            <w:tcMar>
              <w:top w:w="55" w:type="dxa"/>
              <w:bottom w:w="55" w:type="dxa"/>
              <w:left w:w="130" w:type="dxa"/>
              <w:right w:w="130" w:type="dxa"/>
            </w:tcMar>
          </w:tcPr>
          <w:p>
            <w:pPr>
              <w:spacing w:before="0" w:after="0"/>
              <w:jc w:val="right"/>
            </w:pPr>
            <w:r>
              <w:rPr>
                <w:sz w:val="18"/>
              </w:rPr>
              <w:t>1,915</w:t>
            </w:r>
          </w:p>
        </w:tc>
      </w:tr>
      <w:tr>
        <w:trPr>
          <w:cantSplit/>
        </w:trPr>
        <w:tc>
          <w:tcPr>
            <w:tcW w:type="dxa" w:w="1701"/>
            <w:tcMar>
              <w:top w:w="55" w:type="dxa"/>
              <w:bottom w:w="55" w:type="dxa"/>
              <w:left w:w="130" w:type="dxa"/>
              <w:right w:w="130" w:type="dxa"/>
            </w:tcMar>
          </w:tcPr>
          <w:p>
            <w:pPr>
              <w:spacing w:before="0" w:after="0"/>
              <w:jc w:val="left"/>
            </w:pPr>
            <w:r>
              <w:rPr>
                <w:sz w:val="18"/>
              </w:rPr>
              <w:t>31. Guainía</w:t>
            </w:r>
          </w:p>
        </w:tc>
        <w:tc>
          <w:tcPr>
            <w:tcW w:type="dxa" w:w="1417"/>
            <w:tcMar>
              <w:top w:w="55" w:type="dxa"/>
              <w:bottom w:w="55" w:type="dxa"/>
              <w:left w:w="130" w:type="dxa"/>
              <w:right w:w="130" w:type="dxa"/>
            </w:tcMar>
          </w:tcPr>
          <w:p>
            <w:pPr>
              <w:spacing w:before="0" w:after="0"/>
              <w:jc w:val="left"/>
            </w:pPr>
            <w:r>
              <w:rPr>
                <w:sz w:val="18"/>
              </w:rPr>
              <w:t>Amazonía</w:t>
            </w:r>
          </w:p>
        </w:tc>
        <w:tc>
          <w:tcPr>
            <w:tcW w:type="dxa" w:w="1587"/>
            <w:tcMar>
              <w:top w:w="55" w:type="dxa"/>
              <w:bottom w:w="55" w:type="dxa"/>
              <w:left w:w="130" w:type="dxa"/>
              <w:right w:w="130" w:type="dxa"/>
            </w:tcMar>
          </w:tcPr>
          <w:p>
            <w:pPr>
              <w:spacing w:before="0" w:after="0"/>
              <w:jc w:val="right"/>
            </w:pPr>
            <w:r>
              <w:rPr>
                <w:sz w:val="18"/>
              </w:rPr>
              <w:t>21.6%</w:t>
            </w:r>
          </w:p>
        </w:tc>
        <w:tc>
          <w:tcPr>
            <w:tcW w:type="dxa" w:w="2154"/>
            <w:tcMar>
              <w:top w:w="55" w:type="dxa"/>
              <w:bottom w:w="55" w:type="dxa"/>
              <w:left w:w="130" w:type="dxa"/>
              <w:right w:w="130" w:type="dxa"/>
            </w:tcMar>
          </w:tcPr>
          <w:p>
            <w:pPr>
              <w:spacing w:before="0" w:after="0"/>
              <w:jc w:val="right"/>
            </w:pPr>
            <w:r>
              <w:rPr>
                <w:sz w:val="18"/>
              </w:rPr>
              <w:t>[19.3% – 23.9%]</w:t>
            </w:r>
          </w:p>
        </w:tc>
        <w:tc>
          <w:tcPr>
            <w:tcW w:type="dxa" w:w="1247"/>
            <w:tcMar>
              <w:top w:w="55" w:type="dxa"/>
              <w:bottom w:w="55" w:type="dxa"/>
              <w:left w:w="130" w:type="dxa"/>
              <w:right w:w="130" w:type="dxa"/>
            </w:tcMar>
          </w:tcPr>
          <w:p>
            <w:pPr>
              <w:spacing w:before="0" w:after="0"/>
              <w:jc w:val="right"/>
            </w:pPr>
            <w:r>
              <w:rPr>
                <w:sz w:val="18"/>
              </w:rPr>
              <w:t>1,726</w:t>
            </w:r>
          </w:p>
        </w:tc>
        <w:tc>
          <w:tcPr>
            <w:tcW w:type="dxa" w:w="1247"/>
            <w:tcMar>
              <w:top w:w="55" w:type="dxa"/>
              <w:bottom w:w="55" w:type="dxa"/>
              <w:left w:w="130" w:type="dxa"/>
              <w:right w:w="130" w:type="dxa"/>
            </w:tcMar>
          </w:tcPr>
          <w:p>
            <w:pPr>
              <w:spacing w:before="0" w:after="0"/>
              <w:jc w:val="right"/>
            </w:pPr>
            <w:r>
              <w:rPr>
                <w:sz w:val="18"/>
              </w:rPr>
              <w:t>1,251</w:t>
            </w:r>
          </w:p>
        </w:tc>
      </w:tr>
      <w:tr>
        <w:trPr>
          <w:cantSplit/>
        </w:trPr>
        <w:tc>
          <w:tcPr>
            <w:tcW w:type="dxa" w:w="1701"/>
            <w:tcMar>
              <w:top w:w="55" w:type="dxa"/>
              <w:bottom w:w="55" w:type="dxa"/>
              <w:left w:w="130" w:type="dxa"/>
              <w:right w:w="130" w:type="dxa"/>
            </w:tcMar>
          </w:tcPr>
          <w:p>
            <w:pPr>
              <w:spacing w:before="0" w:after="0"/>
              <w:jc w:val="left"/>
            </w:pPr>
            <w:r>
              <w:rPr>
                <w:sz w:val="18"/>
              </w:rPr>
              <w:t>32. Chocó</w:t>
            </w:r>
          </w:p>
        </w:tc>
        <w:tc>
          <w:tcPr>
            <w:tcW w:type="dxa" w:w="1417"/>
            <w:tcMar>
              <w:top w:w="55" w:type="dxa"/>
              <w:bottom w:w="55" w:type="dxa"/>
              <w:left w:w="130" w:type="dxa"/>
              <w:right w:w="130" w:type="dxa"/>
            </w:tcMar>
          </w:tcPr>
          <w:p>
            <w:pPr>
              <w:spacing w:before="0" w:after="0"/>
              <w:jc w:val="left"/>
            </w:pPr>
            <w:r>
              <w:rPr>
                <w:sz w:val="18"/>
              </w:rPr>
              <w:t>Pacífica</w:t>
            </w:r>
          </w:p>
        </w:tc>
        <w:tc>
          <w:tcPr>
            <w:tcW w:type="dxa" w:w="1587"/>
            <w:tcMar>
              <w:top w:w="55" w:type="dxa"/>
              <w:bottom w:w="55" w:type="dxa"/>
              <w:left w:w="130" w:type="dxa"/>
              <w:right w:w="130" w:type="dxa"/>
            </w:tcMar>
          </w:tcPr>
          <w:p>
            <w:pPr>
              <w:spacing w:before="0" w:after="0"/>
              <w:jc w:val="right"/>
            </w:pPr>
            <w:r>
              <w:rPr>
                <w:sz w:val="18"/>
              </w:rPr>
              <w:t>16.9%</w:t>
            </w:r>
          </w:p>
        </w:tc>
        <w:tc>
          <w:tcPr>
            <w:tcW w:type="dxa" w:w="2154"/>
            <w:tcMar>
              <w:top w:w="55" w:type="dxa"/>
              <w:bottom w:w="55" w:type="dxa"/>
              <w:left w:w="130" w:type="dxa"/>
              <w:right w:w="130" w:type="dxa"/>
            </w:tcMar>
          </w:tcPr>
          <w:p>
            <w:pPr>
              <w:spacing w:before="0" w:after="0"/>
              <w:jc w:val="right"/>
            </w:pPr>
            <w:r>
              <w:rPr>
                <w:sz w:val="18"/>
              </w:rPr>
              <w:t>[15.1% – 18.7%]</w:t>
            </w:r>
          </w:p>
        </w:tc>
        <w:tc>
          <w:tcPr>
            <w:tcW w:type="dxa" w:w="1247"/>
            <w:tcMar>
              <w:top w:w="55" w:type="dxa"/>
              <w:bottom w:w="55" w:type="dxa"/>
              <w:left w:w="130" w:type="dxa"/>
              <w:right w:w="130" w:type="dxa"/>
            </w:tcMar>
          </w:tcPr>
          <w:p>
            <w:pPr>
              <w:spacing w:before="0" w:after="0"/>
              <w:jc w:val="right"/>
            </w:pPr>
            <w:r>
              <w:rPr>
                <w:sz w:val="18"/>
              </w:rPr>
              <w:t>2,438</w:t>
            </w:r>
          </w:p>
        </w:tc>
        <w:tc>
          <w:tcPr>
            <w:tcW w:type="dxa" w:w="1247"/>
            <w:tcMar>
              <w:top w:w="55" w:type="dxa"/>
              <w:bottom w:w="55" w:type="dxa"/>
              <w:left w:w="130" w:type="dxa"/>
              <w:right w:w="130" w:type="dxa"/>
            </w:tcMar>
          </w:tcPr>
          <w:p>
            <w:pPr>
              <w:spacing w:before="0" w:after="0"/>
              <w:jc w:val="right"/>
            </w:pPr>
            <w:r>
              <w:rPr>
                <w:sz w:val="18"/>
              </w:rPr>
              <w:t>1,674</w:t>
            </w:r>
          </w:p>
        </w:tc>
      </w:tr>
      <w:tr>
        <w:trPr>
          <w:cantSplit/>
        </w:trPr>
        <w:tc>
          <w:tcPr>
            <w:tcW w:type="dxa" w:w="1701"/>
            <w:tcMar>
              <w:top w:w="55" w:type="dxa"/>
              <w:bottom w:w="55" w:type="dxa"/>
              <w:left w:w="130" w:type="dxa"/>
              <w:right w:w="130" w:type="dxa"/>
            </w:tcMar>
          </w:tcPr>
          <w:p>
            <w:pPr>
              <w:spacing w:before="0" w:after="0"/>
              <w:jc w:val="left"/>
            </w:pPr>
            <w:r>
              <w:rPr>
                <w:sz w:val="18"/>
              </w:rPr>
              <w:t>33. Vaupés</w:t>
            </w:r>
          </w:p>
        </w:tc>
        <w:tc>
          <w:tcPr>
            <w:tcW w:type="dxa" w:w="1417"/>
            <w:tcMar>
              <w:top w:w="55" w:type="dxa"/>
              <w:bottom w:w="55" w:type="dxa"/>
              <w:left w:w="130" w:type="dxa"/>
              <w:right w:w="130" w:type="dxa"/>
            </w:tcMar>
          </w:tcPr>
          <w:p>
            <w:pPr>
              <w:spacing w:before="0" w:after="0"/>
              <w:jc w:val="left"/>
            </w:pPr>
            <w:r>
              <w:rPr>
                <w:sz w:val="18"/>
              </w:rPr>
              <w:t>Amazonía</w:t>
            </w:r>
          </w:p>
        </w:tc>
        <w:tc>
          <w:tcPr>
            <w:tcW w:type="dxa" w:w="1587"/>
            <w:tcMar>
              <w:top w:w="55" w:type="dxa"/>
              <w:bottom w:w="55" w:type="dxa"/>
              <w:left w:w="130" w:type="dxa"/>
              <w:right w:w="130" w:type="dxa"/>
            </w:tcMar>
          </w:tcPr>
          <w:p>
            <w:pPr>
              <w:spacing w:before="0" w:after="0"/>
              <w:jc w:val="right"/>
            </w:pPr>
            <w:r>
              <w:rPr>
                <w:sz w:val="18"/>
              </w:rPr>
              <w:t>14.5%</w:t>
            </w:r>
          </w:p>
        </w:tc>
        <w:tc>
          <w:tcPr>
            <w:tcW w:type="dxa" w:w="2154"/>
            <w:tcMar>
              <w:top w:w="55" w:type="dxa"/>
              <w:bottom w:w="55" w:type="dxa"/>
              <w:left w:w="130" w:type="dxa"/>
              <w:right w:w="130" w:type="dxa"/>
            </w:tcMar>
          </w:tcPr>
          <w:p>
            <w:pPr>
              <w:spacing w:before="0" w:after="0"/>
              <w:jc w:val="right"/>
            </w:pPr>
            <w:r>
              <w:rPr>
                <w:sz w:val="18"/>
              </w:rPr>
              <w:t>[12.2% – 16.8%]</w:t>
            </w:r>
          </w:p>
        </w:tc>
        <w:tc>
          <w:tcPr>
            <w:tcW w:type="dxa" w:w="1247"/>
            <w:tcMar>
              <w:top w:w="55" w:type="dxa"/>
              <w:bottom w:w="55" w:type="dxa"/>
              <w:left w:w="130" w:type="dxa"/>
              <w:right w:w="130" w:type="dxa"/>
            </w:tcMar>
          </w:tcPr>
          <w:p>
            <w:pPr>
              <w:spacing w:before="0" w:after="0"/>
              <w:jc w:val="right"/>
            </w:pPr>
            <w:r>
              <w:rPr>
                <w:sz w:val="18"/>
              </w:rPr>
              <w:t>1,452</w:t>
            </w:r>
          </w:p>
        </w:tc>
        <w:tc>
          <w:tcPr>
            <w:tcW w:type="dxa" w:w="1247"/>
            <w:tcMar>
              <w:top w:w="55" w:type="dxa"/>
              <w:bottom w:w="55" w:type="dxa"/>
              <w:left w:w="130" w:type="dxa"/>
              <w:right w:w="130" w:type="dxa"/>
            </w:tcMar>
          </w:tcPr>
          <w:p>
            <w:pPr>
              <w:spacing w:before="0" w:after="0"/>
              <w:jc w:val="right"/>
            </w:pPr>
            <w:r>
              <w:rPr>
                <w:sz w:val="18"/>
              </w:rPr>
              <w:t>900</w:t>
            </w:r>
          </w:p>
        </w:tc>
      </w:tr>
    </w:tbl>
    <w:p>
      <w:pPr>
        <w:keepNext w:val="0"/>
        <w:spacing w:before="40" w:after="80"/>
      </w:pPr>
      <w:r>
        <w:rPr>
          <w:rFonts w:ascii="Calibri" w:hAnsi="Calibri"/>
          <w:i/>
          <w:color w:val="718096"/>
          <w:sz w:val="16"/>
        </w:rPr>
        <w:t>Fuente: DANE — ECV 2024. Estimaciones expandidas con FEX_C. La fila de Media Nacional aparece resaltada en gris como separador analítico. La tabla completa con los 33 departamentos se encuentra disponible en el repositorio de código abierto.</w:t>
      </w:r>
    </w:p>
    <w:tbl>
      <w:tblPr>
        <w:tblW w:type="auto" w:w="0"/>
        <w:jc w:val="center"/>
        <w:tblLayout w:type="fixed"/>
        <w:tblLook w:firstColumn="1" w:firstRow="1" w:lastColumn="0" w:lastRow="0" w:noHBand="0" w:noVBand="1" w:val="04A0"/>
      </w:tblPr>
      <w:tblGrid>
        <w:gridCol w:w="9405"/>
      </w:tblGrid>
      <w:tr>
        <w:tc>
          <w:tcPr>
            <w:tcW w:type="dxa" w:w="9406"/>
            <w:shd w:val="clear" w:color="auto" w:fill="F7FAFC"/>
            <w:tcMar>
              <w:top w:w="100" w:type="dxa"/>
              <w:bottom w:w="100" w:type="dxa"/>
              <w:left w:w="140" w:type="dxa"/>
              <w:right w:w="140" w:type="dxa"/>
            </w:tcMar>
            <w:tcBorders>
              <w:left w:val="single" w:sz="24" w:space="0" w:color="2B6CB0"/>
              <w:top w:val="none"/>
              <w:bottom w:val="none"/>
              <w:right w:val="none"/>
            </w:tcBorders>
          </w:tcPr>
          <w:p>
            <w:pPr>
              <w:spacing w:line="269" w:lineRule="auto" w:before="0" w:after="40"/>
            </w:pPr>
            <w:r>
              <w:rPr>
                <w:b/>
                <w:color w:val="1B365D"/>
                <w:sz w:val="19"/>
              </w:rPr>
              <w:t>Robustez Estadística de la Fractura Territorial</w:t>
              <w:br/>
            </w:r>
            <w:r>
              <w:rPr>
                <w:color w:val="2D3748"/>
                <w:sz w:val="18"/>
              </w:rPr>
              <w:t>Al contrastar la cota inferior de Casanare (69.1%) frente a la cota superior de Vaupés (16.8%), la razón mínima de brecha territorial supera 4.1× (4.9× en estimación puntual), con una separación neta superior a 52 puntos porcentuales. La desigualdad regional no es un artefacto muestral, sino una disparidad geográfica estructural.</w:t>
            </w:r>
          </w:p>
        </w:tc>
      </w:tr>
    </w:tbl>
    <w:p>
      <w:r>
        <w:br w:type="page"/>
      </w:r>
    </w:p>
    <w:p>
      <w:pPr>
        <w:pStyle w:val="Heading1"/>
      </w:pPr>
      <w:r>
        <w:t>6. Limitaciones Metodológicas</w:t>
      </w:r>
    </w:p>
    <w:p>
      <w:pPr>
        <w:keepNext/>
        <w:spacing w:after="50" w:before="0"/>
      </w:pPr>
      <w:r>
        <w:rPr>
          <w:b/>
          <w:color w:val="1B365D"/>
          <w:sz w:val="19"/>
        </w:rPr>
        <w:t xml:space="preserve">1. Diseño transversal: </w:t>
      </w:r>
      <w:r>
        <w:rPr>
          <w:color w:val="2D3748"/>
          <w:sz w:val="19"/>
        </w:rPr>
        <w:t>Las estimaciones reflejan asociaciones condicionales observadas y disparidades estructurales, sin inferencia de causalidad directa.</w:t>
      </w:r>
    </w:p>
    <w:p>
      <w:pPr>
        <w:keepNext/>
        <w:spacing w:after="50" w:before="0"/>
      </w:pPr>
      <w:r>
        <w:rPr>
          <w:b/>
          <w:color w:val="1B365D"/>
          <w:sz w:val="19"/>
        </w:rPr>
        <w:t xml:space="preserve">2. Posible endogeneidad en el capital humano: </w:t>
      </w:r>
      <w:r>
        <w:rPr>
          <w:color w:val="2D3748"/>
          <w:sz w:val="19"/>
        </w:rPr>
        <w:t>El coeficiente de educación superior del jefe de hogar (OR = 6.71) no debe interpretarse como puramente exógeno, pues se correlaciona con patrimonio intergeneracional, ingreso permanente acumulado y preferencias tecnológicas latentes.</w:t>
      </w:r>
    </w:p>
    <w:p>
      <w:pPr>
        <w:keepNext/>
        <w:spacing w:after="50" w:before="0"/>
      </w:pPr>
      <w:r>
        <w:rPr>
          <w:b/>
          <w:color w:val="1B365D"/>
          <w:sz w:val="19"/>
        </w:rPr>
        <w:t xml:space="preserve">3. Mediciones proxy del ingreso: </w:t>
      </w:r>
      <w:r>
        <w:rPr>
          <w:color w:val="2D3748"/>
          <w:sz w:val="19"/>
        </w:rPr>
        <w:t>Ante la ausencia de un módulo de ingreso continuo en la ECV 2024, se emplean la autopercepción de dificultad económica (P3353) y las probabilidades de pobreza (PROB_IAMG, PROB_IAG).</w:t>
      </w:r>
    </w:p>
    <w:p>
      <w:pPr>
        <w:keepNext/>
        <w:spacing w:after="50" w:before="0"/>
      </w:pPr>
      <w:r>
        <w:rPr>
          <w:b/>
          <w:color w:val="1B365D"/>
          <w:sz w:val="19"/>
        </w:rPr>
        <w:t xml:space="preserve">4. Métrica binaria de conectividad: </w:t>
      </w:r>
      <w:r>
        <w:rPr>
          <w:color w:val="2D3748"/>
          <w:sz w:val="19"/>
        </w:rPr>
        <w:t>No se registran variables continuas de calidad de servicio técnico (ancho de banda en Mbps, latencia o límites mensuales de datos).</w:t>
      </w:r>
    </w:p>
    <w:p>
      <w:pPr>
        <w:keepNext/>
        <w:spacing w:after="50" w:before="0"/>
      </w:pPr>
      <w:r>
        <w:rPr>
          <w:b/>
          <w:color w:val="1B365D"/>
          <w:sz w:val="19"/>
        </w:rPr>
        <w:t xml:space="preserve">5. Desagregación geográfica: </w:t>
      </w:r>
      <w:r>
        <w:rPr>
          <w:color w:val="2D3748"/>
          <w:sz w:val="19"/>
        </w:rPr>
        <w:t>La representatividad estadística se restringe a escala departamental y de gran dominio, impidiendo análisis a nivel municipal.</w:t>
      </w:r>
    </w:p>
    <w:p>
      <w:pPr>
        <w:pStyle w:val="Heading1"/>
      </w:pPr>
      <w:r>
        <w:t>7. Conclusiones y Recomendaciones Estratégicas</w:t>
      </w:r>
    </w:p>
    <w:p>
      <w:pPr>
        <w:spacing w:after="80"/>
      </w:pPr>
      <w:r>
        <w:t>La evidencia empírica demuestra que Colombia ha superado la barrera de la cobertura móvil elemental, pero enfrenta una severa 'brecha digital de segundo nivel' caracterizada por la escasez de conexiones fijas domiciliarias de alta velocidad, la falta de computadores en hogares de bajos ingresos y la dependencia crítica del capital educativo para un uso productivo.</w:t>
      </w:r>
    </w:p>
    <w:tbl>
      <w:tblPr>
        <w:tblW w:type="auto" w:w="0"/>
        <w:jc w:val="center"/>
        <w:tblLayout w:type="fixed"/>
        <w:tblLook w:firstColumn="1" w:firstRow="1" w:lastColumn="0" w:lastRow="0" w:noHBand="0" w:noVBand="1" w:val="04A0"/>
      </w:tblPr>
      <w:tblGrid>
        <w:gridCol w:w="9405"/>
      </w:tblGrid>
      <w:tr>
        <w:tc>
          <w:tcPr>
            <w:tcW w:type="dxa" w:w="9406"/>
            <w:shd w:val="clear" w:color="auto" w:fill="F7FAFC"/>
            <w:tcMar>
              <w:top w:w="100" w:type="dxa"/>
              <w:bottom w:w="100" w:type="dxa"/>
              <w:left w:w="140" w:type="dxa"/>
              <w:right w:w="140" w:type="dxa"/>
            </w:tcMar>
            <w:tcBorders>
              <w:left w:val="single" w:sz="24" w:space="0" w:color="1B365D"/>
              <w:top w:val="none"/>
              <w:bottom w:val="none"/>
              <w:right w:val="none"/>
            </w:tcBorders>
          </w:tcPr>
          <w:p>
            <w:pPr>
              <w:spacing w:line="269" w:lineRule="auto" w:before="0" w:after="40"/>
            </w:pPr>
            <w:r>
              <w:rPr>
                <w:b/>
                <w:color w:val="1B365D"/>
                <w:sz w:val="19"/>
              </w:rPr>
              <w:t>Recomendaciones Estratégicas de Política Pública</w:t>
              <w:br/>
            </w:r>
            <w:r>
              <w:rPr>
                <w:color w:val="2D3748"/>
                <w:sz w:val="18"/>
              </w:rPr>
              <w:t>• Priorizar la penetración de banda ancha fija residencial: Reorientar los subsidios e incentivos de infraestructura hacia la fibra óptica domiciliaria en municipios de categorías 4, 5 y 6.</w:t>
              <w:br/>
              <w:t>• Subsidios y crédito focalizado a equipamiento de cómputo: Cerrar la brecha de 37.8 pp mediante esquemas de financiamiento blando para hogares vulnerables con estudiantes.</w:t>
              <w:br/>
              <w:t>• Formación en habilidades digitales productivas: Acompañar el despliegue técnico con programas obligatorios de alfabetización digital orientados al trabajo y la educación.</w:t>
              <w:br/>
              <w:t>• Redes satelitales no convencionales en la periferia: Desplegar constelaciones satelitales de órbita baja (LEO) y centros comunitarios solares en Vaupés, Chocó y Guainía.</w:t>
            </w:r>
          </w:p>
        </w:tc>
      </w:tr>
    </w:tbl>
    <w:p>
      <w:pPr>
        <w:spacing w:before="80" w:after="0"/>
      </w:pPr>
      <w:r>
        <w:rPr>
          <w:i/>
          <w:color w:val="2B6CB0"/>
          <w:sz w:val="17"/>
        </w:rPr>
        <w:t>Código fuente, notebooks interactivos y datos reproducibles: https://github.com/j0thers/ecv-brecha-digital-colombia</w:t>
      </w:r>
    </w:p>
    <w:sectPr w:rsidR="00FC693F" w:rsidRPr="0006063C" w:rsidSect="00034616">
      <w:headerReference w:type="default" r:id="rId9"/>
      <w:footerReference w:type="default" r:id="rId10"/>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alibri" w:hAnsi="Calibri"/>
        <w:color w:val="718096"/>
        <w:sz w:val="17"/>
      </w:rPr>
      <w:t xml:space="preserve">Informe Ejecutivo de Investigación  ·  </w:t>
    </w:r>
    <w:r>
      <w:rPr>
        <w:rFonts w:ascii="Calibri" w:hAnsi="Calibri"/>
        <w:color w:val="2B6CB0"/>
        <w:sz w:val="17"/>
      </w:rPr>
      <w:t>github.com/j0thers/ecv-brecha-digital-colombia</w:t>
    </w:r>
    <w:r>
      <w:rPr>
        <w:rFonts w:ascii="Calibri" w:hAnsi="Calibri"/>
        <w:color w:val="718096"/>
        <w:sz w:val="17"/>
      </w:rPr>
      <w:tab/>
      <w:tab/>
      <w:t xml:space="preserve">Página </w:t>
    </w:r>
    <w:fldSimple w:instr="PAGE"/>
    <w:r>
      <w:rPr>
        <w:rFonts w:ascii="Calibri" w:hAnsi="Calibri"/>
        <w:color w:val="718096"/>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Radiografía Socioeconómica y Brecha Digital de Colombia — ECV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60" w:before="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Calibri" w:hAnsi="Calibri"/>
      <w:b/>
      <w:bCs/>
      <w:color w:val="1B365D"/>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2B6CB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Radiografía Socioeconómica y Brecha Digital de Colombia: Análisis de Microdatos ECV 2024 (DANE)</dc:title>
  <dc:subject>Análisis econométrico de brecha digital, tenencia de TIC y capital humano en Colombia (ECV 2024)</dc:subject>
  <dc:creator>j0thers</dc:creator>
  <cp:keywords>brecha digital, Colombia, DANE, ECV 2024, econometría, regresión logística, capital humano, TIC</cp:keywords>
  <dc:description>generated by python-docx</dc:description>
  <cp:lastModifiedBy/>
  <cp:revision>1</cp:revision>
  <dcterms:created xsi:type="dcterms:W3CDTF">2013-12-23T23:15:00Z</dcterms:created>
  <dcterms:modified xsi:type="dcterms:W3CDTF">2013-12-23T23:15:00Z</dcterms:modified>
  <cp:category>Informe Ejecutivo de Investigación</cp:category>
</cp:coreProperties>
</file>