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eastAsia="Arial"/>
          <w:b/>
          <w:i w:val="0"/>
          <w:color w:val="006633"/>
          <w:sz w:val="36"/>
        </w:rPr>
        <w:t>Meeting Two</w:t>
      </w:r>
    </w:p>
    <w:p>
      <w:pPr>
        <w:spacing w:after="40"/>
        <w:jc w:val="center"/>
      </w:pPr>
      <w:r>
        <w:rPr>
          <w:rFonts w:ascii="Arial" w:hAnsi="Arial" w:eastAsia="Arial"/>
          <w:b/>
          <w:i w:val="0"/>
          <w:color w:val="555555"/>
          <w:sz w:val="23"/>
        </w:rPr>
        <w:t>Progress since Meeting One, supervisor questions and next-stage plan</w:t>
      </w:r>
    </w:p>
    <w:p>
      <w:pPr>
        <w:spacing w:after="160"/>
        <w:jc w:val="center"/>
      </w:pPr>
      <w:r>
        <w:rPr>
          <w:rFonts w:ascii="Arial" w:hAnsi="Arial" w:eastAsia="Arial"/>
          <w:b w:val="0"/>
          <w:i w:val="0"/>
          <w:color w:val="555555"/>
          <w:sz w:val="19"/>
        </w:rPr>
        <w:t>Project: AI-Enabled Minimal Viable Testing for Additive Manufacturing | 9 June 2026</w:t>
      </w:r>
    </w:p>
    <w:tbl>
      <w:tblPr>
        <w:tblStyle w:val="TableGrid"/>
        <w:tblW w:type="dxa" w:w="10195"/>
        <w:jc w:val="center"/>
        <w:tblLayout w:type="fixed"/>
        <w:tblLook w:firstColumn="1" w:firstRow="1" w:lastColumn="0" w:lastRow="0" w:noHBand="0" w:noVBand="1" w:val="04A0"/>
      </w:tblPr>
      <w:tblGrid>
        <w:gridCol w:w="10195"/>
      </w:tblGrid>
      <w:tr>
        <w:tc>
          <w:tcPr>
            <w:tcW w:type="dxa" w:w="10195"/>
            <w:shd w:fill="E2F0D9"/>
            <w:tcMar>
              <w:top w:w="80" w:type="dxa"/>
              <w:start w:w="100" w:type="dxa"/>
              <w:bottom w:w="80" w:type="dxa"/>
              <w:end w:w="100" w:type="dxa"/>
            </w:tcMar>
            <w:vAlign w:val="center"/>
          </w:tcPr>
          <w:p>
            <w:pPr>
              <w:spacing w:after="0"/>
            </w:pPr>
            <w:r>
              <w:rPr>
                <w:rFonts w:ascii="Arial" w:hAnsi="Arial" w:eastAsia="Arial"/>
                <w:b/>
                <w:i w:val="0"/>
                <w:color w:val="006633"/>
                <w:sz w:val="21"/>
              </w:rPr>
              <w:t xml:space="preserve">Meeting objective: </w:t>
            </w:r>
            <w:r>
              <w:rPr>
                <w:rFonts w:ascii="Arial" w:hAnsi="Arial" w:eastAsia="Arial"/>
                <w:b w:val="0"/>
                <w:i w:val="0"/>
                <w:color w:val="000000"/>
                <w:sz w:val="21"/>
              </w:rPr>
              <w:t>Confirm whether the statistical results and example predictions are physically reasonable, agree the correct dissertation claim, and decide how to validate the model using supervisor-provided real test data.</w:t>
            </w:r>
          </w:p>
        </w:tc>
      </w:tr>
    </w:tbl>
    <w:p>
      <w:pPr>
        <w:spacing w:after="40"/>
      </w:pPr>
    </w:p>
    <w:p>
      <w:pPr>
        <w:keepNext/>
        <w:spacing w:before="200" w:after="100"/>
      </w:pPr>
      <w:r>
        <w:rPr>
          <w:rFonts w:ascii="Arial" w:hAnsi="Arial" w:eastAsia="Arial"/>
          <w:b/>
          <w:i w:val="0"/>
          <w:color w:val="006633"/>
          <w:sz w:val="26"/>
        </w:rPr>
        <w:t>1. Progress since Meeting One</w:t>
      </w:r>
    </w:p>
    <w:p>
      <w:pPr>
        <w:spacing w:before="0" w:after="100" w:line="259" w:lineRule="auto"/>
      </w:pPr>
      <w:r>
        <w:rPr>
          <w:rFonts w:ascii="Arial" w:hAnsi="Arial" w:eastAsia="Arial"/>
          <w:b w:val="0"/>
          <w:i w:val="0"/>
          <w:color w:val="008040"/>
          <w:sz w:val="21"/>
        </w:rPr>
        <w:t>Meeting One defined three main tasks: expand the evidence base, compare alternative models, and use feature importance and sensitivity analysis to develop a reduced but representative testing matrix. These tasks are now implemented, although the data coverage limits how strongly the final matrix can recommend test reduction.</w:t>
      </w:r>
    </w:p>
    <w:tbl>
      <w:tblPr>
        <w:tblStyle w:val="TableGrid"/>
        <w:tblW w:type="dxa" w:w="10195"/>
        <w:jc w:val="center"/>
        <w:tblLayout w:type="fixed"/>
        <w:tblLook w:firstColumn="1" w:firstRow="1" w:lastColumn="0" w:lastRow="0" w:noHBand="0" w:noVBand="1" w:val="04A0"/>
      </w:tblPr>
      <w:tblGrid>
        <w:gridCol w:w="2200"/>
        <w:gridCol w:w="1700"/>
        <w:gridCol w:w="6295"/>
      </w:tblGrid>
      <w:tr>
        <w:trPr>
          <w:tblHeader/>
        </w:trPr>
        <w:tc>
          <w:tcPr>
            <w:tcW w:type="dxa" w:w="2200"/>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7"/>
              </w:rPr>
              <w:t>Meeting One item</w:t>
            </w:r>
          </w:p>
        </w:tc>
        <w:tc>
          <w:tcPr>
            <w:tcW w:type="dxa" w:w="1700"/>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7"/>
              </w:rPr>
              <w:t>Current status</w:t>
            </w:r>
          </w:p>
        </w:tc>
        <w:tc>
          <w:tcPr>
            <w:tcW w:type="dxa" w:w="6295"/>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7"/>
              </w:rPr>
              <w:t>Evidence of progress</w:t>
            </w:r>
          </w:p>
        </w:tc>
      </w:tr>
      <w:tr>
        <w:tc>
          <w:tcPr>
            <w:tcW w:type="dxa" w:w="220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Expand data sources</w:t>
            </w:r>
          </w:p>
        </w:tc>
        <w:tc>
          <w:tcPr>
            <w:tcW w:type="dxa" w:w="17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Completed / continuing</w:t>
            </w:r>
          </w:p>
        </w:tc>
        <w:tc>
          <w:tcPr>
            <w:tcW w:type="dxa" w:w="6295"/>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Open datasets, API literature screening, PDF provenance, audited LLM and manual vision extraction are integrated.</w:t>
            </w:r>
          </w:p>
        </w:tc>
      </w:tr>
      <w:tr>
        <w:tc>
          <w:tcPr>
            <w:tcW w:type="dxa" w:w="2200"/>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Define core models</w:t>
            </w:r>
          </w:p>
        </w:tc>
        <w:tc>
          <w:tcPr>
            <w:tcW w:type="dxa" w:w="1700"/>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Completed</w:t>
            </w:r>
          </w:p>
        </w:tc>
        <w:tc>
          <w:tcPr>
            <w:tcW w:type="dxa" w:w="6295"/>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Four modelling views and five targets: UTS, fatigue life, elongation, yield strength and Young's modulus.</w:t>
            </w:r>
          </w:p>
        </w:tc>
      </w:tr>
      <w:tr>
        <w:tc>
          <w:tcPr>
            <w:tcW w:type="dxa" w:w="220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Compare models</w:t>
            </w:r>
          </w:p>
        </w:tc>
        <w:tc>
          <w:tcPr>
            <w:tcW w:type="dxa" w:w="17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Completed</w:t>
            </w:r>
          </w:p>
        </w:tc>
        <w:tc>
          <w:tcPr>
            <w:tcW w:type="dxa" w:w="6295"/>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Mean, median, alloy-family median, L2 linear SGD, Random Forest, XGBoost, CatBoost and a 128-64-32 MLP were compared.</w:t>
            </w:r>
          </w:p>
        </w:tc>
      </w:tr>
      <w:tr>
        <w:tc>
          <w:tcPr>
            <w:tcW w:type="dxa" w:w="2200"/>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Prevent source leakage</w:t>
            </w:r>
          </w:p>
        </w:tc>
        <w:tc>
          <w:tcPr>
            <w:tcW w:type="dxa" w:w="1700"/>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Completed</w:t>
            </w:r>
          </w:p>
        </w:tc>
        <w:tc>
          <w:tcPr>
            <w:tcW w:type="dxa" w:w="6295"/>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15% final holdout grouped by DOI/dataset/source, with 5-fold GroupKFold on the 85% development set.</w:t>
            </w:r>
          </w:p>
        </w:tc>
      </w:tr>
      <w:tr>
        <w:tc>
          <w:tcPr>
            <w:tcW w:type="dxa" w:w="220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Explain relationships</w:t>
            </w:r>
          </w:p>
        </w:tc>
        <w:tc>
          <w:tcPr>
            <w:tcW w:type="dxa" w:w="17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Completed</w:t>
            </w:r>
          </w:p>
        </w:tc>
        <w:tc>
          <w:tcPr>
            <w:tcW w:type="dxa" w:w="6295"/>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Permutation importance, SHAP, sensitivity, grouped errors, coverage analysis and a small B2 combination holdout are generated.</w:t>
            </w:r>
          </w:p>
        </w:tc>
      </w:tr>
      <w:tr>
        <w:tc>
          <w:tcPr>
            <w:tcW w:type="dxa" w:w="2200"/>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Reduced testing matrix</w:t>
            </w:r>
          </w:p>
        </w:tc>
        <w:tc>
          <w:tcPr>
            <w:tcW w:type="dxa" w:w="1700"/>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Implemented</w:t>
            </w:r>
          </w:p>
        </w:tc>
        <w:tc>
          <w:tcPr>
            <w:tcW w:type="dxa" w:w="6295"/>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The matrix now combines model performance, uncertainty, SHAP, coverage and source diversity.</w:t>
            </w:r>
          </w:p>
        </w:tc>
      </w:tr>
      <w:tr>
        <w:tc>
          <w:tcPr>
            <w:tcW w:type="dxa" w:w="220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Failure mode and sparse targets</w:t>
            </w:r>
          </w:p>
        </w:tc>
        <w:tc>
          <w:tcPr>
            <w:tcW w:type="dxa" w:w="17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Moved to future work</w:t>
            </w:r>
          </w:p>
        </w:tc>
        <w:tc>
          <w:tcPr>
            <w:tcW w:type="dxa" w:w="6295"/>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Failure mode, fracture origin, hardness and other sparse variables are retained as evidence but excluded from the five core targets.</w:t>
            </w:r>
          </w:p>
        </w:tc>
      </w:tr>
    </w:tbl>
    <w:p>
      <w:pPr>
        <w:spacing w:after="40"/>
      </w:pPr>
    </w:p>
    <w:p>
      <w:pPr>
        <w:keepNext/>
        <w:spacing w:before="120" w:after="60"/>
      </w:pPr>
      <w:r>
        <w:rPr>
          <w:rFonts w:ascii="Arial" w:hAnsi="Arial" w:eastAsia="Arial"/>
          <w:b/>
          <w:i w:val="0"/>
          <w:color w:val="008040"/>
          <w:sz w:val="22"/>
        </w:rPr>
        <w:t>Current model performance</w:t>
      </w:r>
    </w:p>
    <w:tbl>
      <w:tblPr>
        <w:tblStyle w:val="TableGrid"/>
        <w:tblW w:type="dxa" w:w="10195"/>
        <w:jc w:val="center"/>
        <w:tblLayout w:type="fixed"/>
        <w:tblLook w:firstColumn="1" w:firstRow="1" w:lastColumn="0" w:lastRow="0" w:noHBand="0" w:noVBand="1" w:val="04A0"/>
      </w:tblPr>
      <w:tblGrid>
        <w:gridCol w:w="2600"/>
        <w:gridCol w:w="2200"/>
        <w:gridCol w:w="1200"/>
        <w:gridCol w:w="1200"/>
        <w:gridCol w:w="2995"/>
      </w:tblGrid>
      <w:tr>
        <w:trPr>
          <w:tblHeader/>
        </w:trPr>
        <w:tc>
          <w:tcPr>
            <w:tcW w:type="dxa" w:w="2600"/>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7"/>
              </w:rPr>
              <w:t>Target</w:t>
            </w:r>
          </w:p>
        </w:tc>
        <w:tc>
          <w:tcPr>
            <w:tcW w:type="dxa" w:w="2200"/>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7"/>
              </w:rPr>
              <w:t>Selected model</w:t>
            </w:r>
          </w:p>
        </w:tc>
        <w:tc>
          <w:tcPr>
            <w:tcW w:type="dxa" w:w="1200"/>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7"/>
              </w:rPr>
              <w:t>OOF R2</w:t>
            </w:r>
          </w:p>
        </w:tc>
        <w:tc>
          <w:tcPr>
            <w:tcW w:type="dxa" w:w="1200"/>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7"/>
              </w:rPr>
              <w:t>Test R2</w:t>
            </w:r>
          </w:p>
        </w:tc>
        <w:tc>
          <w:tcPr>
            <w:tcW w:type="dxa" w:w="2995"/>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7"/>
              </w:rPr>
              <w:t>Test MAE</w:t>
            </w:r>
          </w:p>
        </w:tc>
      </w:tr>
      <w:tr>
        <w:tc>
          <w:tcPr>
            <w:tcW w:type="dxa" w:w="260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UTS</w:t>
            </w:r>
          </w:p>
        </w:tc>
        <w:tc>
          <w:tcPr>
            <w:tcW w:type="dxa" w:w="22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Random Forest</w:t>
            </w:r>
          </w:p>
        </w:tc>
        <w:tc>
          <w:tcPr>
            <w:tcW w:type="dxa" w:w="12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0.647</w:t>
            </w:r>
          </w:p>
        </w:tc>
        <w:tc>
          <w:tcPr>
            <w:tcW w:type="dxa" w:w="12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0.608</w:t>
            </w:r>
          </w:p>
        </w:tc>
        <w:tc>
          <w:tcPr>
            <w:tcW w:type="dxa" w:w="2995"/>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159.7 MPa</w:t>
            </w:r>
          </w:p>
        </w:tc>
      </w:tr>
      <w:tr>
        <w:tc>
          <w:tcPr>
            <w:tcW w:type="dxa" w:w="2600"/>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Fatigue life (log10)</w:t>
            </w:r>
          </w:p>
        </w:tc>
        <w:tc>
          <w:tcPr>
            <w:tcW w:type="dxa" w:w="2200"/>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CatBoost</w:t>
            </w:r>
          </w:p>
        </w:tc>
        <w:tc>
          <w:tcPr>
            <w:tcW w:type="dxa" w:w="1200"/>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0.305</w:t>
            </w:r>
          </w:p>
        </w:tc>
        <w:tc>
          <w:tcPr>
            <w:tcW w:type="dxa" w:w="1200"/>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0.408</w:t>
            </w:r>
          </w:p>
        </w:tc>
        <w:tc>
          <w:tcPr>
            <w:tcW w:type="dxa" w:w="2995"/>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0.649 log cycles</w:t>
            </w:r>
          </w:p>
        </w:tc>
      </w:tr>
      <w:tr>
        <w:tc>
          <w:tcPr>
            <w:tcW w:type="dxa" w:w="260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Elongation</w:t>
            </w:r>
          </w:p>
        </w:tc>
        <w:tc>
          <w:tcPr>
            <w:tcW w:type="dxa" w:w="22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Random Forest</w:t>
            </w:r>
          </w:p>
        </w:tc>
        <w:tc>
          <w:tcPr>
            <w:tcW w:type="dxa" w:w="12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0.541</w:t>
            </w:r>
          </w:p>
        </w:tc>
        <w:tc>
          <w:tcPr>
            <w:tcW w:type="dxa" w:w="12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0.663</w:t>
            </w:r>
          </w:p>
        </w:tc>
        <w:tc>
          <w:tcPr>
            <w:tcW w:type="dxa" w:w="2995"/>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6.52 percentage points</w:t>
            </w:r>
          </w:p>
        </w:tc>
      </w:tr>
      <w:tr>
        <w:tc>
          <w:tcPr>
            <w:tcW w:type="dxa" w:w="2600"/>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Yield strength</w:t>
            </w:r>
          </w:p>
        </w:tc>
        <w:tc>
          <w:tcPr>
            <w:tcW w:type="dxa" w:w="2200"/>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CatBoost</w:t>
            </w:r>
          </w:p>
        </w:tc>
        <w:tc>
          <w:tcPr>
            <w:tcW w:type="dxa" w:w="1200"/>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0.651</w:t>
            </w:r>
          </w:p>
        </w:tc>
        <w:tc>
          <w:tcPr>
            <w:tcW w:type="dxa" w:w="1200"/>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0.737</w:t>
            </w:r>
          </w:p>
        </w:tc>
        <w:tc>
          <w:tcPr>
            <w:tcW w:type="dxa" w:w="2995"/>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124.8 MPa</w:t>
            </w:r>
          </w:p>
        </w:tc>
      </w:tr>
      <w:tr>
        <w:tc>
          <w:tcPr>
            <w:tcW w:type="dxa" w:w="260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Young's modulus</w:t>
            </w:r>
          </w:p>
        </w:tc>
        <w:tc>
          <w:tcPr>
            <w:tcW w:type="dxa" w:w="22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CatBoost</w:t>
            </w:r>
          </w:p>
        </w:tc>
        <w:tc>
          <w:tcPr>
            <w:tcW w:type="dxa" w:w="12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0.761</w:t>
            </w:r>
          </w:p>
        </w:tc>
        <w:tc>
          <w:tcPr>
            <w:tcW w:type="dxa" w:w="12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0.711</w:t>
            </w:r>
          </w:p>
        </w:tc>
        <w:tc>
          <w:tcPr>
            <w:tcW w:type="dxa" w:w="2995"/>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16.1 GPa</w:t>
            </w:r>
          </w:p>
        </w:tc>
      </w:tr>
    </w:tbl>
    <w:p>
      <w:pPr>
        <w:spacing w:after="40"/>
      </w:pPr>
    </w:p>
    <w:p>
      <w:pPr>
        <w:pStyle w:val="ListBullet"/>
        <w:spacing w:before="0" w:after="60" w:line="252" w:lineRule="auto"/>
        <w:ind w:left="403" w:hanging="259"/>
      </w:pPr>
      <w:r>
        <w:rPr>
          <w:rFonts w:ascii="Arial" w:hAnsi="Arial" w:eastAsia="Arial"/>
          <w:b w:val="0"/>
          <w:i w:val="0"/>
          <w:color w:val="008040"/>
          <w:sz w:val="21"/>
        </w:rPr>
        <w:t>All five selected models outperform the mean and median baselines.</w:t>
      </w:r>
    </w:p>
    <w:p>
      <w:pPr>
        <w:pStyle w:val="ListBullet"/>
        <w:spacing w:before="0" w:after="60" w:line="252" w:lineRule="auto"/>
        <w:ind w:left="403" w:hanging="259"/>
      </w:pPr>
      <w:r>
        <w:rPr>
          <w:rFonts w:ascii="Arial" w:hAnsi="Arial" w:eastAsia="Arial"/>
          <w:b w:val="0"/>
          <w:i w:val="0"/>
          <w:color w:val="008040"/>
          <w:sz w:val="21"/>
        </w:rPr>
        <w:t>The simple L2 linear baseline remains competitive for static properties, while the MLP did not improve performance and failed badly for fatigue.</w:t>
      </w:r>
    </w:p>
    <w:p>
      <w:pPr>
        <w:pStyle w:val="ListBullet"/>
        <w:spacing w:before="0" w:after="60" w:line="252" w:lineRule="auto"/>
        <w:ind w:left="403" w:hanging="259"/>
      </w:pPr>
      <w:r>
        <w:rPr>
          <w:rFonts w:ascii="Arial" w:hAnsi="Arial" w:eastAsia="Arial"/>
          <w:b w:val="0"/>
          <w:i w:val="0"/>
          <w:color w:val="008040"/>
          <w:sz w:val="21"/>
        </w:rPr>
        <w:t>The strongest data-supported relationships are UTS-yield association (Spearman 0.957) and decreasing fatigue life with increasing stress amplitude.</w:t>
      </w:r>
    </w:p>
    <w:p>
      <w:pPr>
        <w:pStyle w:val="ListBullet"/>
        <w:spacing w:before="0" w:after="60" w:line="252" w:lineRule="auto"/>
        <w:ind w:left="403" w:hanging="259"/>
      </w:pPr>
      <w:r>
        <w:rPr>
          <w:rFonts w:ascii="Arial" w:hAnsi="Arial" w:eastAsia="Arial"/>
          <w:b w:val="0"/>
          <w:i w:val="0"/>
          <w:color w:val="008040"/>
          <w:sz w:val="21"/>
        </w:rPr>
        <w:t>The final condition-level matrix contains no candidate_for_reduction recommendations because most alloy-process-orientation-surface combinations come from only one source.</w:t>
      </w:r>
    </w:p>
    <w:p>
      <w:pPr>
        <w:keepNext/>
        <w:spacing w:before="200" w:after="100"/>
      </w:pPr>
      <w:r>
        <w:rPr>
          <w:rFonts w:ascii="Arial" w:hAnsi="Arial" w:eastAsia="Arial"/>
          <w:b/>
          <w:i w:val="0"/>
          <w:color w:val="000000"/>
          <w:sz w:val="26"/>
        </w:rPr>
        <w:t>2. Questions for the Supervisor</w:t>
      </w:r>
    </w:p>
    <w:p>
      <w:pPr>
        <w:spacing w:before="0" w:after="100" w:line="259" w:lineRule="auto"/>
      </w:pPr>
      <w:r>
        <w:rPr>
          <w:rFonts w:ascii="Arial" w:hAnsi="Arial" w:eastAsia="Arial"/>
          <w:b w:val="0"/>
          <w:i w:val="0"/>
          <w:color w:val="000000"/>
          <w:sz w:val="21"/>
        </w:rPr>
        <w:t>My main uncertainty is not whether the code runs, but whether the learned relationships and numerical predictions agree with additive manufacturing practice. I have not studied AM mechanics in sufficient depth to validate these conclusions independently. The models are generated from published data, but published datasets may still contain confounding between alloy, machine, test method, paper source and processing condition.</w:t>
      </w:r>
    </w:p>
    <w:p>
      <w:pPr>
        <w:keepNext/>
        <w:spacing w:before="120" w:after="60"/>
      </w:pPr>
      <w:r>
        <w:rPr>
          <w:rFonts w:ascii="Arial" w:hAnsi="Arial" w:eastAsia="Arial"/>
          <w:b/>
          <w:i w:val="0"/>
          <w:color w:val="000000"/>
          <w:sz w:val="22"/>
        </w:rPr>
        <w:t>Two real-data scenarios for physical plausibility review</w:t>
      </w:r>
    </w:p>
    <w:tbl>
      <w:tblPr>
        <w:tblStyle w:val="TableGrid"/>
        <w:tblW w:type="dxa" w:w="10195"/>
        <w:jc w:val="center"/>
        <w:tblLayout w:type="fixed"/>
        <w:tblLook w:firstColumn="1" w:firstRow="1" w:lastColumn="0" w:lastRow="0" w:noHBand="0" w:noVBand="1" w:val="04A0"/>
      </w:tblPr>
      <w:tblGrid>
        <w:gridCol w:w="900"/>
        <w:gridCol w:w="3050"/>
        <w:gridCol w:w="4545"/>
        <w:gridCol w:w="1700"/>
      </w:tblGrid>
      <w:tr>
        <w:trPr>
          <w:tblHeader/>
        </w:trPr>
        <w:tc>
          <w:tcPr>
            <w:tcW w:type="dxa" w:w="900"/>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6"/>
              </w:rPr>
              <w:t>Scenario</w:t>
            </w:r>
          </w:p>
        </w:tc>
        <w:tc>
          <w:tcPr>
            <w:tcW w:type="dxa" w:w="3050"/>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6"/>
              </w:rPr>
              <w:t>Material and process</w:t>
            </w:r>
          </w:p>
        </w:tc>
        <w:tc>
          <w:tcPr>
            <w:tcW w:type="dxa" w:w="4545"/>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6"/>
              </w:rPr>
              <w:t>Selected conditions</w:t>
            </w:r>
          </w:p>
        </w:tc>
        <w:tc>
          <w:tcPr>
            <w:tcW w:type="dxa" w:w="1700"/>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6"/>
              </w:rPr>
              <w:t>Measured fatigue life</w:t>
            </w:r>
          </w:p>
        </w:tc>
      </w:tr>
      <w:tr>
        <w:tc>
          <w:tcPr>
            <w:tcW w:type="dxa" w:w="90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6"/>
              </w:rPr>
              <w:t>A</w:t>
            </w:r>
          </w:p>
        </w:tc>
        <w:tc>
          <w:tcPr>
            <w:tcW w:type="dxa" w:w="305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6"/>
              </w:rPr>
              <w:t>Ti-6Al-4V, L-PBF, EOS M290, 90 degree</w:t>
            </w:r>
          </w:p>
        </w:tc>
        <w:tc>
          <w:tcPr>
            <w:tcW w:type="dxa" w:w="4545"/>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6"/>
              </w:rPr>
              <w:t>370 W; 1250 mm/s; 60 um layer; stress amplitude 497.9 MPa; R=-1; 30 Hz</w:t>
            </w:r>
          </w:p>
        </w:tc>
        <w:tc>
          <w:tcPr>
            <w:tcW w:type="dxa" w:w="1700"/>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6"/>
              </w:rPr>
              <w:t>8,175 cycles</w:t>
            </w:r>
          </w:p>
        </w:tc>
      </w:tr>
      <w:tr>
        <w:tc>
          <w:tcPr>
            <w:tcW w:type="dxa" w:w="900"/>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6"/>
              </w:rPr>
              <w:t>B</w:t>
            </w:r>
          </w:p>
        </w:tc>
        <w:tc>
          <w:tcPr>
            <w:tcW w:type="dxa" w:w="3050"/>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6"/>
              </w:rPr>
              <w:t>AlSi10Mg, L-PBF, SLM 280HL, 0 degree, as-built</w:t>
            </w:r>
          </w:p>
        </w:tc>
        <w:tc>
          <w:tcPr>
            <w:tcW w:type="dxa" w:w="4545"/>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6"/>
              </w:rPr>
              <w:t>350 W; 1650 mm/s; 50 um layer; stress amplitude 208.0 MPa; R=0.1; 40 Hz</w:t>
            </w:r>
          </w:p>
        </w:tc>
        <w:tc>
          <w:tcPr>
            <w:tcW w:type="dxa" w:w="1700"/>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6"/>
              </w:rPr>
              <w:t>43,401 cycles</w:t>
            </w:r>
          </w:p>
        </w:tc>
      </w:tr>
    </w:tbl>
    <w:p>
      <w:pPr>
        <w:spacing w:after="40"/>
      </w:pPr>
    </w:p>
    <w:tbl>
      <w:tblPr>
        <w:tblStyle w:val="TableGrid"/>
        <w:tblW w:type="dxa" w:w="10195"/>
        <w:jc w:val="center"/>
        <w:tblLayout w:type="fixed"/>
        <w:tblLook w:firstColumn="1" w:firstRow="1" w:lastColumn="0" w:lastRow="0" w:noHBand="0" w:noVBand="1" w:val="04A0"/>
      </w:tblPr>
      <w:tblGrid>
        <w:gridCol w:w="2200"/>
        <w:gridCol w:w="3998"/>
        <w:gridCol w:w="3997"/>
      </w:tblGrid>
      <w:tr>
        <w:trPr>
          <w:tblHeader/>
        </w:trPr>
        <w:tc>
          <w:tcPr>
            <w:tcW w:type="dxa" w:w="2200"/>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7"/>
              </w:rPr>
              <w:t>Selected target model</w:t>
            </w:r>
          </w:p>
        </w:tc>
        <w:tc>
          <w:tcPr>
            <w:tcW w:type="dxa" w:w="3998"/>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7"/>
              </w:rPr>
              <w:t>Scenario A prediction [90% interval]</w:t>
            </w:r>
          </w:p>
        </w:tc>
        <w:tc>
          <w:tcPr>
            <w:tcW w:type="dxa" w:w="3997"/>
            <w:shd w:fill="DDEBF7"/>
            <w:tcMar>
              <w:top w:w="80" w:type="dxa"/>
              <w:start w:w="100" w:type="dxa"/>
              <w:bottom w:w="80" w:type="dxa"/>
              <w:end w:w="100" w:type="dxa"/>
            </w:tcMar>
            <w:vAlign w:val="center"/>
          </w:tcPr>
          <w:p>
            <w:pPr>
              <w:spacing w:before="0" w:after="0" w:line="240" w:lineRule="auto"/>
              <w:jc w:val="center"/>
            </w:pPr>
            <w:r>
              <w:rPr>
                <w:rFonts w:ascii="Arial" w:hAnsi="Arial" w:eastAsia="Arial"/>
                <w:b/>
                <w:i w:val="0"/>
                <w:color w:val="1F4D78"/>
                <w:sz w:val="17"/>
              </w:rPr>
              <w:t>Scenario B prediction [90% interval]</w:t>
            </w:r>
          </w:p>
        </w:tc>
      </w:tr>
      <w:tr>
        <w:tc>
          <w:tcPr>
            <w:tcW w:type="dxa" w:w="220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UTS</w:t>
            </w:r>
          </w:p>
        </w:tc>
        <w:tc>
          <w:tcPr>
            <w:tcW w:type="dxa" w:w="3998"/>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965 MPa [616, 1314]</w:t>
            </w:r>
          </w:p>
        </w:tc>
        <w:tc>
          <w:tcPr>
            <w:tcW w:type="dxa" w:w="3997"/>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377 MPa [28, 725]</w:t>
            </w:r>
          </w:p>
        </w:tc>
      </w:tr>
      <w:tr>
        <w:tc>
          <w:tcPr>
            <w:tcW w:type="dxa" w:w="2200"/>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Fatigue life</w:t>
            </w:r>
          </w:p>
        </w:tc>
        <w:tc>
          <w:tcPr>
            <w:tcW w:type="dxa" w:w="3998"/>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45,293 cycles [2,009, 1,021,313]</w:t>
            </w:r>
          </w:p>
        </w:tc>
        <w:tc>
          <w:tcPr>
            <w:tcW w:type="dxa" w:w="3997"/>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82,044 cycles [3,638, 1,850,007]</w:t>
            </w:r>
          </w:p>
        </w:tc>
      </w:tr>
      <w:tr>
        <w:tc>
          <w:tcPr>
            <w:tcW w:type="dxa" w:w="220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Elongation</w:t>
            </w:r>
          </w:p>
        </w:tc>
        <w:tc>
          <w:tcPr>
            <w:tcW w:type="dxa" w:w="3998"/>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11.7% [-4.7, 28.0]</w:t>
            </w:r>
          </w:p>
        </w:tc>
        <w:tc>
          <w:tcPr>
            <w:tcW w:type="dxa" w:w="3997"/>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10.8% [-5.6, 27.2]</w:t>
            </w:r>
          </w:p>
        </w:tc>
      </w:tr>
      <w:tr>
        <w:tc>
          <w:tcPr>
            <w:tcW w:type="dxa" w:w="2200"/>
            <w:shd w:fill="F2F2F2"/>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Yield strength</w:t>
            </w:r>
          </w:p>
        </w:tc>
        <w:tc>
          <w:tcPr>
            <w:tcW w:type="dxa" w:w="3998"/>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966 MPa [626, 1307]</w:t>
            </w:r>
          </w:p>
        </w:tc>
        <w:tc>
          <w:tcPr>
            <w:tcW w:type="dxa" w:w="3997"/>
            <w:shd w:fill="F2F2F2"/>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214 MPa [-127, 555]</w:t>
            </w:r>
          </w:p>
        </w:tc>
      </w:tr>
      <w:tr>
        <w:tc>
          <w:tcPr>
            <w:tcW w:type="dxa" w:w="2200"/>
            <w:tcMar>
              <w:top w:w="80" w:type="dxa"/>
              <w:start w:w="100" w:type="dxa"/>
              <w:bottom w:w="80" w:type="dxa"/>
              <w:end w:w="100" w:type="dxa"/>
            </w:tcMar>
            <w:vAlign w:val="center"/>
          </w:tcPr>
          <w:p>
            <w:pPr>
              <w:spacing w:before="0" w:after="0" w:line="240" w:lineRule="auto"/>
              <w:jc w:val="left"/>
            </w:pPr>
            <w:r>
              <w:rPr>
                <w:rFonts w:ascii="Arial" w:hAnsi="Arial" w:eastAsia="Arial"/>
                <w:b w:val="0"/>
                <w:i w:val="0"/>
                <w:color w:val="000000"/>
                <w:sz w:val="17"/>
              </w:rPr>
              <w:t>Young's modulus</w:t>
            </w:r>
          </w:p>
        </w:tc>
        <w:tc>
          <w:tcPr>
            <w:tcW w:type="dxa" w:w="3998"/>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106 GPa [69.6, 142.4]</w:t>
            </w:r>
          </w:p>
        </w:tc>
        <w:tc>
          <w:tcPr>
            <w:tcW w:type="dxa" w:w="3997"/>
            <w:tcMar>
              <w:top w:w="80" w:type="dxa"/>
              <w:start w:w="100" w:type="dxa"/>
              <w:bottom w:w="80" w:type="dxa"/>
              <w:end w:w="100" w:type="dxa"/>
            </w:tcMar>
            <w:vAlign w:val="center"/>
          </w:tcPr>
          <w:p>
            <w:pPr>
              <w:spacing w:before="0" w:after="0" w:line="240" w:lineRule="auto"/>
              <w:jc w:val="center"/>
            </w:pPr>
            <w:r>
              <w:rPr>
                <w:rFonts w:ascii="Arial" w:hAnsi="Arial" w:eastAsia="Arial"/>
                <w:b w:val="0"/>
                <w:i w:val="0"/>
                <w:color w:val="000000"/>
                <w:sz w:val="17"/>
              </w:rPr>
              <w:t>69.7 GPa [33.3, 106.1]</w:t>
            </w:r>
          </w:p>
        </w:tc>
      </w:tr>
    </w:tbl>
    <w:p>
      <w:pPr>
        <w:spacing w:after="40"/>
      </w:pPr>
    </w:p>
    <w:p>
      <w:pPr>
        <w:spacing w:before="0" w:after="100" w:line="259" w:lineRule="auto"/>
      </w:pPr>
      <w:r>
        <w:rPr>
          <w:rFonts w:ascii="Arial" w:hAnsi="Arial" w:eastAsia="Arial"/>
          <w:b w:val="0"/>
          <w:i/>
          <w:color w:val="000000"/>
          <w:sz w:val="21"/>
        </w:rPr>
        <w:t>These are illustrative predictions from rows already present in the public fatigue dataset, not an independent external validation. The measured fatigue lives fall inside the predicted intervals, but the intervals are very wide. Negative lower limits for elongation and yield strength show that the current conformal intervals are statistical rather than physically bounded.</w:t>
      </w:r>
    </w:p>
    <w:p>
      <w:pPr>
        <w:pStyle w:val="ListNumber"/>
        <w:spacing w:after="80" w:line="252" w:lineRule="auto"/>
        <w:ind w:left="461" w:hanging="288"/>
      </w:pPr>
      <w:r>
        <w:rPr>
          <w:rFonts w:ascii="Arial" w:hAnsi="Arial" w:eastAsia="Arial"/>
          <w:b w:val="0"/>
          <w:i w:val="0"/>
          <w:color w:val="000000"/>
          <w:sz w:val="21"/>
        </w:rPr>
        <w:t>Do the point predictions and ranges above look physically plausible for Ti-6Al-4V and AlSi10Mg under these conditions?</w:t>
      </w:r>
    </w:p>
    <w:p>
      <w:pPr>
        <w:pStyle w:val="ListNumber"/>
        <w:spacing w:after="80" w:line="252" w:lineRule="auto"/>
        <w:ind w:left="461" w:hanging="288"/>
      </w:pPr>
      <w:r>
        <w:rPr>
          <w:rFonts w:ascii="Arial" w:hAnsi="Arial" w:eastAsia="Arial"/>
          <w:b w:val="0"/>
          <w:i w:val="0"/>
          <w:color w:val="000000"/>
          <w:sz w:val="21"/>
        </w:rPr>
        <w:t>Are the current Test R2 values sufficient for an MSc dissertation if the claim is decision support and prioritisation rather than replacement of testing?</w:t>
      </w:r>
    </w:p>
    <w:p>
      <w:pPr>
        <w:pStyle w:val="ListNumber"/>
        <w:spacing w:after="80" w:line="252" w:lineRule="auto"/>
        <w:ind w:left="461" w:hanging="288"/>
      </w:pPr>
      <w:r>
        <w:rPr>
          <w:rFonts w:ascii="Arial" w:hAnsi="Arial" w:eastAsia="Arial"/>
          <w:b w:val="0"/>
          <w:i w:val="0"/>
          <w:color w:val="000000"/>
          <w:sz w:val="21"/>
        </w:rPr>
        <w:t>Fatigue SHAP and permutation importance rank frequency_Hz above stress amplitude. Should this be interpreted mainly as dataset or test-protocol confounding rather than a physical mechanism?</w:t>
      </w:r>
    </w:p>
    <w:p>
      <w:pPr>
        <w:pStyle w:val="ListNumber"/>
        <w:spacing w:after="80" w:line="252" w:lineRule="auto"/>
        <w:ind w:left="461" w:hanging="288"/>
      </w:pPr>
      <w:r>
        <w:rPr>
          <w:rFonts w:ascii="Arial" w:hAnsi="Arial" w:eastAsia="Arial"/>
          <w:b w:val="0"/>
          <w:i w:val="0"/>
          <w:color w:val="000000"/>
          <w:sz w:val="21"/>
        </w:rPr>
        <w:t>Sparse porosity data produced a counter-intuitive sensitivity response in some static models. Should this result be shown as evidence of data limitations, or should sparse sensitivity plots be excluded?</w:t>
      </w:r>
    </w:p>
    <w:p>
      <w:pPr>
        <w:pStyle w:val="ListNumber"/>
        <w:spacing w:after="80" w:line="252" w:lineRule="auto"/>
        <w:ind w:left="461" w:hanging="288"/>
      </w:pPr>
      <w:r>
        <w:rPr>
          <w:rFonts w:ascii="Arial" w:hAnsi="Arial" w:eastAsia="Arial"/>
          <w:b w:val="0"/>
          <w:i w:val="0"/>
          <w:color w:val="000000"/>
          <w:sz w:val="21"/>
        </w:rPr>
        <w:t>Is it acceptable that the reduced testing matrix currently recommends retain_core, retain_validation or collect_more_data, but no condition passes the strict candidate_for_reduction threshold?</w:t>
      </w:r>
    </w:p>
    <w:p>
      <w:pPr>
        <w:pStyle w:val="ListNumber"/>
        <w:spacing w:after="80" w:line="252" w:lineRule="auto"/>
        <w:ind w:left="461" w:hanging="288"/>
      </w:pPr>
      <w:r>
        <w:rPr>
          <w:rFonts w:ascii="Arial" w:hAnsi="Arial" w:eastAsia="Arial"/>
          <w:b w:val="0"/>
          <w:i w:val="0"/>
          <w:color w:val="000000"/>
          <w:sz w:val="21"/>
        </w:rPr>
        <w:t>Should the dissertation focus its detailed case study on one or two well-represented domains, for example Ti-6Al-4V and AlSi10Mg L-PBF, rather than discussing all alloys equally?</w:t>
      </w:r>
    </w:p>
    <w:p>
      <w:pPr>
        <w:pStyle w:val="ListNumber"/>
        <w:spacing w:after="80" w:line="252" w:lineRule="auto"/>
        <w:ind w:left="461" w:hanging="288"/>
      </w:pPr>
      <w:r>
        <w:rPr>
          <w:rFonts w:ascii="Arial" w:hAnsi="Arial" w:eastAsia="Arial"/>
          <w:b w:val="0"/>
          <w:i w:val="0"/>
          <w:color w:val="000000"/>
          <w:sz w:val="21"/>
        </w:rPr>
        <w:t>Should prediction intervals be clipped to physical lower bounds, or should the unbounded intervals be retained to show uncertainty honestly?</w:t>
      </w:r>
    </w:p>
    <w:p>
      <w:pPr>
        <w:pStyle w:val="ListNumber"/>
        <w:spacing w:after="80" w:line="252" w:lineRule="auto"/>
        <w:ind w:left="461" w:hanging="288"/>
      </w:pPr>
      <w:r>
        <w:rPr>
          <w:rFonts w:ascii="Arial" w:hAnsi="Arial" w:eastAsia="Arial"/>
          <w:b w:val="0"/>
          <w:i w:val="0"/>
          <w:color w:val="000000"/>
          <w:sz w:val="21"/>
        </w:rPr>
        <w:t>Would the supervisor be willing to provide a small real test table so the interface can return predictions, 90% intervals and domain warnings for expert plausibility assessment?</w:t>
      </w:r>
    </w:p>
    <w:p>
      <w:pPr>
        <w:keepNext/>
        <w:spacing w:before="200" w:after="100"/>
      </w:pPr>
      <w:r>
        <w:rPr>
          <w:rFonts w:ascii="Arial" w:hAnsi="Arial" w:eastAsia="Arial"/>
          <w:b/>
          <w:i w:val="0"/>
          <w:color w:val="0055A5"/>
          <w:sz w:val="26"/>
        </w:rPr>
        <w:t>3. Future Plan</w:t>
      </w:r>
    </w:p>
    <w:p>
      <w:pPr>
        <w:keepNext/>
        <w:spacing w:before="120" w:after="60"/>
      </w:pPr>
      <w:r>
        <w:rPr>
          <w:rFonts w:ascii="Arial" w:hAnsi="Arial" w:eastAsia="Arial"/>
          <w:b/>
          <w:i w:val="0"/>
          <w:color w:val="0055A5"/>
          <w:sz w:val="22"/>
        </w:rPr>
        <w:t>3.1 Supervisor validation interface</w:t>
      </w:r>
    </w:p>
    <w:p>
      <w:pPr>
        <w:spacing w:before="0" w:after="100" w:line="259" w:lineRule="auto"/>
      </w:pPr>
      <w:r>
        <w:rPr>
          <w:rFonts w:ascii="Arial" w:hAnsi="Arial" w:eastAsia="Arial"/>
          <w:b w:val="0"/>
          <w:i w:val="0"/>
          <w:color w:val="0055A5"/>
          <w:sz w:val="21"/>
        </w:rPr>
        <w:t>The repository already supports CSV batch prediction. The proposed next step is to turn this into a simple supervisor-facing validation workflow:</w:t>
      </w:r>
    </w:p>
    <w:p>
      <w:pPr>
        <w:pStyle w:val="ListBullet"/>
        <w:spacing w:before="0" w:after="60" w:line="252" w:lineRule="auto"/>
        <w:ind w:left="403" w:hanging="259"/>
      </w:pPr>
      <w:r>
        <w:rPr>
          <w:rFonts w:ascii="Arial" w:hAnsi="Arial" w:eastAsia="Arial"/>
          <w:b w:val="0"/>
          <w:i w:val="0"/>
          <w:color w:val="0055A5"/>
          <w:sz w:val="21"/>
        </w:rPr>
        <w:t>Supervisor provides a table of real material, process, orientation, surface and loading conditions.</w:t>
      </w:r>
    </w:p>
    <w:p>
      <w:pPr>
        <w:pStyle w:val="ListBullet"/>
        <w:spacing w:before="0" w:after="60" w:line="252" w:lineRule="auto"/>
        <w:ind w:left="403" w:hanging="259"/>
      </w:pPr>
      <w:r>
        <w:rPr>
          <w:rFonts w:ascii="Arial" w:hAnsi="Arial" w:eastAsia="Arial"/>
          <w:b w:val="0"/>
          <w:i w:val="0"/>
          <w:color w:val="0055A5"/>
          <w:sz w:val="21"/>
        </w:rPr>
        <w:t>The system returns five target predictions, 90% prediction intervals and warnings for missing, unseen or out-of-range inputs.</w:t>
      </w:r>
    </w:p>
    <w:p>
      <w:pPr>
        <w:pStyle w:val="ListBullet"/>
        <w:spacing w:before="0" w:after="60" w:line="252" w:lineRule="auto"/>
        <w:ind w:left="403" w:hanging="259"/>
      </w:pPr>
      <w:r>
        <w:rPr>
          <w:rFonts w:ascii="Arial" w:hAnsi="Arial" w:eastAsia="Arial"/>
          <w:b w:val="0"/>
          <w:i w:val="0"/>
          <w:color w:val="0055A5"/>
          <w:sz w:val="21"/>
        </w:rPr>
        <w:t>Where measured outcomes are available, the interface reports whether the measurement falls inside the predicted interval.</w:t>
      </w:r>
    </w:p>
    <w:p>
      <w:pPr>
        <w:pStyle w:val="ListBullet"/>
        <w:spacing w:before="0" w:after="60" w:line="252" w:lineRule="auto"/>
        <w:ind w:left="403" w:hanging="259"/>
      </w:pPr>
      <w:r>
        <w:rPr>
          <w:rFonts w:ascii="Arial" w:hAnsi="Arial" w:eastAsia="Arial"/>
          <w:b w:val="0"/>
          <w:i w:val="0"/>
          <w:color w:val="0055A5"/>
          <w:sz w:val="21"/>
        </w:rPr>
        <w:t>The supervisor records whether each prediction is physically plausible, questionable or implausible, creating a small expert-validation layer.</w:t>
      </w:r>
    </w:p>
    <w:p>
      <w:pPr>
        <w:keepNext/>
        <w:spacing w:before="120" w:after="60"/>
      </w:pPr>
      <w:r>
        <w:rPr>
          <w:rFonts w:ascii="Arial" w:hAnsi="Arial" w:eastAsia="Arial"/>
          <w:b/>
          <w:i w:val="0"/>
          <w:color w:val="0055A5"/>
          <w:sz w:val="22"/>
        </w:rPr>
        <w:t>3.2 Immediate analysis improvements</w:t>
      </w:r>
    </w:p>
    <w:p>
      <w:pPr>
        <w:pStyle w:val="ListBullet"/>
        <w:spacing w:before="0" w:after="60" w:line="252" w:lineRule="auto"/>
        <w:ind w:left="403" w:hanging="259"/>
      </w:pPr>
      <w:r>
        <w:rPr>
          <w:rFonts w:ascii="Arial" w:hAnsi="Arial" w:eastAsia="Arial"/>
          <w:b w:val="0"/>
          <w:i w:val="0"/>
          <w:color w:val="0055A5"/>
          <w:sz w:val="21"/>
        </w:rPr>
        <w:t>Standardise duplicate labels such as L-PBF, LPBF, SLM and Laser Powder Bed Fusion.</w:t>
      </w:r>
    </w:p>
    <w:p>
      <w:pPr>
        <w:pStyle w:val="ListBullet"/>
        <w:spacing w:before="0" w:after="60" w:line="252" w:lineRule="auto"/>
        <w:ind w:left="403" w:hanging="259"/>
      </w:pPr>
      <w:r>
        <w:rPr>
          <w:rFonts w:ascii="Arial" w:hAnsi="Arial" w:eastAsia="Arial"/>
          <w:b w:val="0"/>
          <w:i w:val="0"/>
          <w:color w:val="0055A5"/>
          <w:sz w:val="21"/>
        </w:rPr>
        <w:t>Add coverage thresholds so sensitivity results are not emphasised when a feature is too sparse or source diversity is too low.</w:t>
      </w:r>
    </w:p>
    <w:p>
      <w:pPr>
        <w:pStyle w:val="ListBullet"/>
        <w:spacing w:before="0" w:after="60" w:line="252" w:lineRule="auto"/>
        <w:ind w:left="403" w:hanging="259"/>
      </w:pPr>
      <w:r>
        <w:rPr>
          <w:rFonts w:ascii="Arial" w:hAnsi="Arial" w:eastAsia="Arial"/>
          <w:b w:val="0"/>
          <w:i w:val="0"/>
          <w:color w:val="0055A5"/>
          <w:sz w:val="21"/>
        </w:rPr>
        <w:t>Separate physically supported relationships from source/test-protocol signals, especially frequency, machine model and post-processing labels.</w:t>
      </w:r>
    </w:p>
    <w:p>
      <w:pPr>
        <w:pStyle w:val="ListBullet"/>
        <w:spacing w:before="0" w:after="60" w:line="252" w:lineRule="auto"/>
        <w:ind w:left="403" w:hanging="259"/>
      </w:pPr>
      <w:r>
        <w:rPr>
          <w:rFonts w:ascii="Arial" w:hAnsi="Arial" w:eastAsia="Arial"/>
          <w:b w:val="0"/>
          <w:i w:val="0"/>
          <w:color w:val="0055A5"/>
          <w:sz w:val="21"/>
        </w:rPr>
        <w:t>Add physically bounded display intervals while retaining the original unbounded conformal interval in the audit output.</w:t>
      </w:r>
    </w:p>
    <w:p>
      <w:pPr>
        <w:pStyle w:val="ListBullet"/>
        <w:spacing w:before="0" w:after="60" w:line="252" w:lineRule="auto"/>
        <w:ind w:left="403" w:hanging="259"/>
      </w:pPr>
      <w:r>
        <w:rPr>
          <w:rFonts w:ascii="Arial" w:hAnsi="Arial" w:eastAsia="Arial"/>
          <w:b w:val="0"/>
          <w:i w:val="0"/>
          <w:color w:val="0055A5"/>
          <w:sz w:val="21"/>
        </w:rPr>
        <w:t>Use the two example domains as focused case studies and keep B2 as a diagnostic rather than a broad generalisation claim.</w:t>
      </w:r>
    </w:p>
    <w:p>
      <w:pPr>
        <w:keepNext/>
        <w:spacing w:before="120" w:after="60"/>
      </w:pPr>
      <w:r>
        <w:rPr>
          <w:rFonts w:ascii="Arial" w:hAnsi="Arial" w:eastAsia="Arial"/>
          <w:b/>
          <w:i w:val="0"/>
          <w:color w:val="0055A5"/>
          <w:sz w:val="22"/>
        </w:rPr>
        <w:t>3.3 Dissertation positioning and writing</w:t>
      </w:r>
    </w:p>
    <w:p>
      <w:pPr>
        <w:pStyle w:val="ListBullet"/>
        <w:spacing w:before="0" w:after="60" w:line="252" w:lineRule="auto"/>
        <w:ind w:left="403" w:hanging="259"/>
      </w:pPr>
      <w:r>
        <w:rPr>
          <w:rFonts w:ascii="Arial" w:hAnsi="Arial" w:eastAsia="Arial"/>
          <w:b w:val="0"/>
          <w:i w:val="0"/>
          <w:color w:val="0055A5"/>
          <w:sz w:val="21"/>
        </w:rPr>
        <w:t>Present the contribution as an agent-assisted, evidence-grounded and uncertainty-aware framework for testing prioritisation.</w:t>
      </w:r>
    </w:p>
    <w:p>
      <w:pPr>
        <w:pStyle w:val="ListBullet"/>
        <w:spacing w:before="0" w:after="60" w:line="252" w:lineRule="auto"/>
        <w:ind w:left="403" w:hanging="259"/>
      </w:pPr>
      <w:r>
        <w:rPr>
          <w:rFonts w:ascii="Arial" w:hAnsi="Arial" w:eastAsia="Arial"/>
          <w:b w:val="0"/>
          <w:i w:val="0"/>
          <w:color w:val="0055A5"/>
          <w:sz w:val="21"/>
        </w:rPr>
        <w:t>Do not claim that the current model proves causality or can replace qualification testing.</w:t>
      </w:r>
    </w:p>
    <w:p>
      <w:pPr>
        <w:pStyle w:val="ListBullet"/>
        <w:spacing w:before="0" w:after="60" w:line="252" w:lineRule="auto"/>
        <w:ind w:left="403" w:hanging="259"/>
      </w:pPr>
      <w:r>
        <w:rPr>
          <w:rFonts w:ascii="Arial" w:hAnsi="Arial" w:eastAsia="Arial"/>
          <w:b w:val="0"/>
          <w:i w:val="0"/>
          <w:color w:val="0055A5"/>
          <w:sz w:val="21"/>
        </w:rPr>
        <w:t>Use the absence of candidate_for_reduction conditions as a transparent result: current public data are insufficiently diverse across independent sources for confident test elimination.</w:t>
      </w:r>
    </w:p>
    <w:p>
      <w:pPr>
        <w:pStyle w:val="ListBullet"/>
        <w:spacing w:before="0" w:after="60" w:line="252" w:lineRule="auto"/>
        <w:ind w:left="403" w:hanging="259"/>
      </w:pPr>
      <w:r>
        <w:rPr>
          <w:rFonts w:ascii="Arial" w:hAnsi="Arial" w:eastAsia="Arial"/>
          <w:b w:val="0"/>
          <w:i w:val="0"/>
          <w:color w:val="0055A5"/>
          <w:sz w:val="21"/>
        </w:rPr>
        <w:t>Write the Methods, Results and Discussion around model comparison, relationship evidence, uncertainty, coverage risk and supervisor/expert validation.</w:t>
      </w:r>
    </w:p>
    <w:p>
      <w:pPr>
        <w:pStyle w:val="ListBullet"/>
        <w:spacing w:before="0" w:after="60" w:line="252" w:lineRule="auto"/>
        <w:ind w:left="403" w:hanging="259"/>
      </w:pPr>
      <w:r>
        <w:rPr>
          <w:rFonts w:ascii="Arial" w:hAnsi="Arial" w:eastAsia="Arial"/>
          <w:b w:val="0"/>
          <w:i w:val="0"/>
          <w:color w:val="0055A5"/>
          <w:sz w:val="21"/>
        </w:rPr>
        <w:t>Keep failure mode, fracture origin, defect geometry classification and a full graphical user interface as future extensions.</w:t>
      </w:r>
    </w:p>
    <w:tbl>
      <w:tblPr>
        <w:tblStyle w:val="TableGrid"/>
        <w:tblW w:type="dxa" w:w="10195"/>
        <w:jc w:val="center"/>
        <w:tblLayout w:type="fixed"/>
        <w:tblLook w:firstColumn="1" w:firstRow="1" w:lastColumn="0" w:lastRow="0" w:noHBand="0" w:noVBand="1" w:val="04A0"/>
      </w:tblPr>
      <w:tblGrid>
        <w:gridCol w:w="10195"/>
      </w:tblGrid>
      <w:tr>
        <w:tc>
          <w:tcPr>
            <w:tcW w:type="dxa" w:w="10195"/>
            <w:shd w:fill="E2F0D9"/>
            <w:tcMar>
              <w:top w:w="80" w:type="dxa"/>
              <w:start w:w="100" w:type="dxa"/>
              <w:bottom w:w="80" w:type="dxa"/>
              <w:end w:w="100" w:type="dxa"/>
            </w:tcMar>
            <w:vAlign w:val="center"/>
          </w:tcPr>
          <w:p>
            <w:pPr>
              <w:spacing w:after="0"/>
            </w:pPr>
            <w:r>
              <w:rPr>
                <w:rFonts w:ascii="Arial" w:hAnsi="Arial" w:eastAsia="Arial"/>
                <w:b/>
                <w:i w:val="0"/>
                <w:color w:val="006633"/>
                <w:sz w:val="21"/>
              </w:rPr>
              <w:t xml:space="preserve">Proposed dissertation claim: </w:t>
            </w:r>
            <w:r>
              <w:rPr>
                <w:rFonts w:ascii="Arial" w:hAnsi="Arial" w:eastAsia="Arial"/>
                <w:b w:val="0"/>
                <w:i w:val="0"/>
                <w:color w:val="000000"/>
                <w:sz w:val="21"/>
              </w:rPr>
              <w:t>The framework supports risk-aware prioritisation of representative tests by combining predictive performance, feature relevance, uncertainty and data coverage. Current public evidence supports domain-aware prioritisation but does not yet justify broad removal of mechanical tests.</w:t>
            </w:r>
          </w:p>
        </w:tc>
      </w:tr>
    </w:tbl>
    <w:p>
      <w:pPr>
        <w:spacing w:after="40"/>
      </w:pPr>
    </w:p>
    <w:sectPr w:rsidR="00FC693F" w:rsidRPr="0006063C" w:rsidSect="00034616">
      <w:pgSz w:w="12240" w:h="15840"/>
      <w:pgMar w:top="850" w:right="1022" w:bottom="850" w:left="102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