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FB4B1" w14:textId="77777777" w:rsidR="00320653" w:rsidRPr="00156F51" w:rsidRDefault="00320653" w:rsidP="00320653">
      <w:pPr>
        <w:widowControl w:val="0"/>
        <w:tabs>
          <w:tab w:val="left" w:pos="5420"/>
        </w:tabs>
        <w:spacing w:after="0"/>
        <w:ind w:right="567"/>
        <w:jc w:val="center"/>
        <w:rPr>
          <w:rFonts w:cs="Times New Roman"/>
          <w:sz w:val="26"/>
          <w:szCs w:val="26"/>
        </w:rPr>
      </w:pPr>
      <w:r w:rsidRPr="00156F51">
        <w:rPr>
          <w:rFonts w:cs="Times New Roman"/>
          <w:smallCaps/>
          <w:sz w:val="26"/>
          <w:szCs w:val="26"/>
        </w:rPr>
        <w:t>ФЕДЕРАЛЬНОЕ ГОСУДАРСТВЕННОЕ АВТОНОМНОЕ ОБРАЗОВАТЕЛЬНОЕ УЧРЕЖДЕНИЕ</w:t>
      </w:r>
    </w:p>
    <w:p w14:paraId="1C93C471" w14:textId="77777777" w:rsidR="00320653" w:rsidRPr="00156F51" w:rsidRDefault="00320653" w:rsidP="00320653">
      <w:pPr>
        <w:widowControl w:val="0"/>
        <w:tabs>
          <w:tab w:val="left" w:pos="5420"/>
        </w:tabs>
        <w:spacing w:after="0"/>
        <w:ind w:right="567"/>
        <w:jc w:val="center"/>
        <w:rPr>
          <w:rFonts w:cs="Times New Roman"/>
          <w:sz w:val="26"/>
          <w:szCs w:val="26"/>
        </w:rPr>
      </w:pPr>
      <w:r w:rsidRPr="00156F51">
        <w:rPr>
          <w:rFonts w:cs="Times New Roman"/>
          <w:smallCaps/>
          <w:sz w:val="26"/>
          <w:szCs w:val="26"/>
        </w:rPr>
        <w:t>ВЫСШЕГО ОБРАЗОВАНИЯ</w:t>
      </w:r>
    </w:p>
    <w:p w14:paraId="6BE3EA3B" w14:textId="77777777" w:rsidR="00320653" w:rsidRPr="00156F51" w:rsidRDefault="00320653" w:rsidP="00320653">
      <w:pPr>
        <w:widowControl w:val="0"/>
        <w:tabs>
          <w:tab w:val="left" w:pos="5420"/>
        </w:tabs>
        <w:spacing w:after="0"/>
        <w:ind w:right="567"/>
        <w:jc w:val="center"/>
        <w:rPr>
          <w:rFonts w:cs="Times New Roman"/>
          <w:sz w:val="26"/>
          <w:szCs w:val="26"/>
        </w:rPr>
      </w:pPr>
      <w:r w:rsidRPr="00156F51">
        <w:rPr>
          <w:rFonts w:cs="Times New Roman"/>
          <w:smallCaps/>
          <w:sz w:val="26"/>
          <w:szCs w:val="26"/>
        </w:rPr>
        <w:t>«НАЦИОНАЛЬНЫЙ ИССЛЕДОВАТЕЛЬСКИЙ УНИВЕРСИТЕТ</w:t>
      </w:r>
    </w:p>
    <w:p w14:paraId="219DC8B4" w14:textId="77777777" w:rsidR="00320653" w:rsidRPr="00156F51" w:rsidRDefault="00320653" w:rsidP="00320653">
      <w:pPr>
        <w:widowControl w:val="0"/>
        <w:tabs>
          <w:tab w:val="left" w:pos="5420"/>
        </w:tabs>
        <w:spacing w:after="0"/>
        <w:ind w:right="567"/>
        <w:jc w:val="center"/>
        <w:rPr>
          <w:rFonts w:cs="Times New Roman"/>
          <w:sz w:val="26"/>
          <w:szCs w:val="26"/>
        </w:rPr>
      </w:pPr>
      <w:r w:rsidRPr="00156F51">
        <w:rPr>
          <w:rFonts w:cs="Times New Roman"/>
          <w:smallCaps/>
          <w:sz w:val="26"/>
          <w:szCs w:val="26"/>
        </w:rPr>
        <w:t>«ВЫСШАЯ ШКОЛА ЭКОНОМИКИ»</w:t>
      </w:r>
    </w:p>
    <w:p w14:paraId="3D297131" w14:textId="35BD67C6" w:rsidR="00320653" w:rsidRDefault="00320653" w:rsidP="00320653">
      <w:pPr>
        <w:pStyle w:val="6"/>
        <w:spacing w:before="0"/>
        <w:ind w:right="567"/>
        <w:jc w:val="center"/>
        <w:rPr>
          <w:rFonts w:cs="Times New Roman"/>
          <w:color w:val="auto"/>
          <w:sz w:val="26"/>
          <w:szCs w:val="26"/>
        </w:rPr>
      </w:pPr>
      <w:r w:rsidRPr="00156F51">
        <w:rPr>
          <w:rFonts w:cs="Times New Roman"/>
          <w:color w:val="auto"/>
          <w:sz w:val="26"/>
          <w:szCs w:val="26"/>
        </w:rPr>
        <w:t xml:space="preserve">Факультет </w:t>
      </w:r>
      <w:r>
        <w:rPr>
          <w:rFonts w:cs="Times New Roman"/>
          <w:color w:val="auto"/>
          <w:sz w:val="26"/>
          <w:szCs w:val="26"/>
        </w:rPr>
        <w:t>компьютерных наук</w:t>
      </w:r>
    </w:p>
    <w:p w14:paraId="0CD698A8" w14:textId="77777777" w:rsidR="00320653" w:rsidRPr="00320653" w:rsidRDefault="00320653" w:rsidP="00320653"/>
    <w:p w14:paraId="79E8296F" w14:textId="51F121D4" w:rsidR="00320653" w:rsidRPr="00156F51" w:rsidRDefault="00320653" w:rsidP="00320653">
      <w:pPr>
        <w:spacing w:after="0" w:line="240" w:lineRule="auto"/>
        <w:ind w:right="567"/>
        <w:jc w:val="center"/>
        <w:rPr>
          <w:rFonts w:cs="Times New Roman"/>
          <w:sz w:val="26"/>
          <w:szCs w:val="26"/>
        </w:rPr>
      </w:pPr>
      <w:r>
        <w:rPr>
          <w:rFonts w:cs="Times New Roman"/>
          <w:sz w:val="26"/>
          <w:szCs w:val="26"/>
        </w:rPr>
        <w:t>Хасанов Данила Сергеевич</w:t>
      </w:r>
    </w:p>
    <w:p w14:paraId="5A8A6FD9" w14:textId="37603CEB" w:rsidR="00320653" w:rsidRDefault="00320653" w:rsidP="00320653">
      <w:pPr>
        <w:spacing w:line="240" w:lineRule="auto"/>
        <w:ind w:right="567"/>
        <w:jc w:val="center"/>
        <w:rPr>
          <w:rFonts w:cs="Times New Roman"/>
          <w:i/>
          <w:szCs w:val="26"/>
        </w:rPr>
      </w:pPr>
    </w:p>
    <w:p w14:paraId="2E0F5E0B" w14:textId="77777777" w:rsidR="00320653" w:rsidRDefault="00320653" w:rsidP="00320653">
      <w:pPr>
        <w:spacing w:line="240" w:lineRule="auto"/>
        <w:ind w:right="567"/>
        <w:jc w:val="center"/>
        <w:rPr>
          <w:rFonts w:cs="Times New Roman"/>
          <w:i/>
          <w:szCs w:val="26"/>
        </w:rPr>
      </w:pPr>
    </w:p>
    <w:p w14:paraId="36B1433B" w14:textId="77777777" w:rsidR="00320653" w:rsidRPr="00FC47B8" w:rsidRDefault="00320653" w:rsidP="00320653">
      <w:pPr>
        <w:spacing w:line="240" w:lineRule="auto"/>
        <w:ind w:right="567"/>
        <w:jc w:val="center"/>
        <w:rPr>
          <w:rFonts w:cs="Times New Roman"/>
          <w:i/>
          <w:szCs w:val="26"/>
        </w:rPr>
      </w:pPr>
    </w:p>
    <w:p w14:paraId="3D739F69" w14:textId="77777777" w:rsidR="00320653" w:rsidRPr="00A85FF7" w:rsidRDefault="00320653" w:rsidP="00320653">
      <w:pPr>
        <w:spacing w:after="0"/>
        <w:ind w:right="567"/>
        <w:jc w:val="center"/>
        <w:rPr>
          <w:rFonts w:cs="Times New Roman"/>
          <w:b/>
          <w:smallCaps/>
          <w:sz w:val="24"/>
          <w:szCs w:val="24"/>
          <w:lang w:val="en-US"/>
        </w:rPr>
      </w:pPr>
      <w:r w:rsidRPr="00A85FF7">
        <w:rPr>
          <w:rFonts w:cs="Times New Roman"/>
          <w:b/>
          <w:smallCaps/>
          <w:sz w:val="24"/>
          <w:szCs w:val="24"/>
          <w:lang w:val="en-US"/>
        </w:rPr>
        <w:t>Development of a System for Assessing the Employee Engagement Index and Analyzing Its Financial Impact on Company Performance Using Machine Learning Methods</w:t>
      </w:r>
    </w:p>
    <w:p w14:paraId="55BD2788" w14:textId="77777777" w:rsidR="00320653" w:rsidRDefault="00320653" w:rsidP="00320653">
      <w:pPr>
        <w:spacing w:after="0"/>
        <w:ind w:right="567"/>
        <w:jc w:val="center"/>
        <w:rPr>
          <w:rFonts w:cs="Times New Roman"/>
          <w:sz w:val="26"/>
          <w:szCs w:val="26"/>
          <w:lang w:val="en-US"/>
        </w:rPr>
      </w:pPr>
    </w:p>
    <w:p w14:paraId="5478CB4A" w14:textId="331F6046" w:rsidR="00320653" w:rsidRPr="00156F51" w:rsidRDefault="00320653" w:rsidP="00320653">
      <w:pPr>
        <w:spacing w:after="0"/>
        <w:ind w:right="567"/>
        <w:jc w:val="center"/>
        <w:rPr>
          <w:rFonts w:cs="Times New Roman"/>
          <w:sz w:val="26"/>
          <w:szCs w:val="26"/>
        </w:rPr>
      </w:pPr>
      <w:r w:rsidRPr="00156F51">
        <w:rPr>
          <w:rFonts w:cs="Times New Roman"/>
          <w:sz w:val="26"/>
          <w:szCs w:val="26"/>
        </w:rPr>
        <w:t>МАГИСТЕРСКАЯ Д</w:t>
      </w:r>
      <w:r>
        <w:rPr>
          <w:rFonts w:cs="Times New Roman"/>
          <w:sz w:val="26"/>
          <w:szCs w:val="26"/>
        </w:rPr>
        <w:t>ИССЕРТАЦИЯ/ МАГИСТЕРСКИЙ ПРОЕКТ</w:t>
      </w:r>
    </w:p>
    <w:p w14:paraId="391BC30E" w14:textId="2CA8B7E8" w:rsidR="00320653" w:rsidRPr="00156F51" w:rsidRDefault="00320653" w:rsidP="00320653">
      <w:pPr>
        <w:spacing w:after="0"/>
        <w:ind w:right="567"/>
        <w:jc w:val="center"/>
        <w:rPr>
          <w:rFonts w:cs="Times New Roman"/>
          <w:sz w:val="26"/>
          <w:szCs w:val="26"/>
        </w:rPr>
      </w:pPr>
      <w:r w:rsidRPr="00156F51">
        <w:rPr>
          <w:rFonts w:cs="Times New Roman"/>
          <w:sz w:val="26"/>
          <w:szCs w:val="26"/>
        </w:rPr>
        <w:t xml:space="preserve">по направлению подготовки </w:t>
      </w:r>
      <w:r>
        <w:rPr>
          <w:rFonts w:cs="Times New Roman"/>
          <w:i/>
          <w:sz w:val="26"/>
          <w:szCs w:val="26"/>
        </w:rPr>
        <w:t xml:space="preserve">01.04.02 </w:t>
      </w:r>
      <w:r w:rsidRPr="00320653">
        <w:rPr>
          <w:rFonts w:cs="Times New Roman"/>
          <w:i/>
          <w:sz w:val="26"/>
          <w:szCs w:val="26"/>
        </w:rPr>
        <w:t>Прикладная математика и информатика</w:t>
      </w:r>
      <w:r w:rsidRPr="00156F51">
        <w:rPr>
          <w:rFonts w:cs="Times New Roman"/>
          <w:sz w:val="26"/>
          <w:szCs w:val="26"/>
        </w:rPr>
        <w:t xml:space="preserve"> </w:t>
      </w:r>
    </w:p>
    <w:p w14:paraId="09D9D44F" w14:textId="77777777" w:rsidR="00320653" w:rsidRDefault="00320653" w:rsidP="00320653">
      <w:pPr>
        <w:spacing w:after="0"/>
        <w:ind w:right="567"/>
        <w:jc w:val="center"/>
        <w:rPr>
          <w:rFonts w:cs="Times New Roman"/>
          <w:sz w:val="26"/>
          <w:szCs w:val="26"/>
        </w:rPr>
      </w:pPr>
      <w:r w:rsidRPr="00156F51">
        <w:rPr>
          <w:rFonts w:cs="Times New Roman"/>
          <w:sz w:val="26"/>
          <w:szCs w:val="26"/>
        </w:rPr>
        <w:t xml:space="preserve">образовательная программа </w:t>
      </w:r>
    </w:p>
    <w:p w14:paraId="7916BC82" w14:textId="1810AACE" w:rsidR="00320653" w:rsidRDefault="00320653" w:rsidP="00320653">
      <w:pPr>
        <w:spacing w:after="0"/>
        <w:ind w:right="567"/>
        <w:jc w:val="center"/>
        <w:rPr>
          <w:rFonts w:cs="Times New Roman"/>
          <w:sz w:val="26"/>
          <w:szCs w:val="26"/>
        </w:rPr>
      </w:pPr>
      <w:r w:rsidRPr="00156F51">
        <w:rPr>
          <w:rFonts w:cs="Times New Roman"/>
          <w:sz w:val="26"/>
          <w:szCs w:val="26"/>
        </w:rPr>
        <w:t>«</w:t>
      </w:r>
      <w:r>
        <w:rPr>
          <w:rFonts w:cs="Times New Roman"/>
          <w:sz w:val="26"/>
          <w:szCs w:val="26"/>
        </w:rPr>
        <w:t>Магистр по наукам о данных</w:t>
      </w:r>
      <w:r w:rsidRPr="00156F51">
        <w:rPr>
          <w:rFonts w:cs="Times New Roman"/>
          <w:sz w:val="26"/>
          <w:szCs w:val="26"/>
        </w:rPr>
        <w:t>»</w:t>
      </w:r>
    </w:p>
    <w:p w14:paraId="01F660E3" w14:textId="77777777" w:rsidR="00320653" w:rsidRDefault="00320653" w:rsidP="00320653">
      <w:pPr>
        <w:spacing w:after="0"/>
        <w:ind w:right="567"/>
        <w:jc w:val="center"/>
        <w:rPr>
          <w:rFonts w:cs="Times New Roman"/>
          <w:sz w:val="26"/>
          <w:szCs w:val="26"/>
        </w:rPr>
      </w:pPr>
    </w:p>
    <w:p w14:paraId="6AFBE680" w14:textId="77777777" w:rsidR="00320653" w:rsidRPr="00156F51" w:rsidRDefault="00320653" w:rsidP="00320653">
      <w:pPr>
        <w:spacing w:after="0"/>
        <w:ind w:right="567"/>
        <w:jc w:val="left"/>
        <w:rPr>
          <w:rFonts w:cs="Times New Roman"/>
          <w:sz w:val="26"/>
          <w:szCs w:val="26"/>
        </w:rPr>
      </w:pPr>
    </w:p>
    <w:tbl>
      <w:tblPr>
        <w:tblStyle w:val="af"/>
        <w:tblpPr w:leftFromText="180" w:rightFromText="180" w:vertAnchor="text" w:horzAnchor="margin" w:tblpY="236"/>
        <w:tblW w:w="98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4937"/>
        <w:gridCol w:w="4938"/>
      </w:tblGrid>
      <w:tr w:rsidR="00320653" w:rsidRPr="00156F51" w14:paraId="519F465D" w14:textId="77777777" w:rsidTr="00374055">
        <w:trPr>
          <w:trHeight w:val="2695"/>
        </w:trPr>
        <w:tc>
          <w:tcPr>
            <w:tcW w:w="4937" w:type="dxa"/>
          </w:tcPr>
          <w:p w14:paraId="784AD1EA" w14:textId="77777777" w:rsidR="00320653" w:rsidRPr="000B6370" w:rsidRDefault="00320653" w:rsidP="00374055">
            <w:pPr>
              <w:ind w:right="567"/>
              <w:rPr>
                <w:rFonts w:cs="Times New Roman"/>
                <w:i/>
                <w:sz w:val="26"/>
                <w:szCs w:val="26"/>
              </w:rPr>
            </w:pPr>
            <w:r w:rsidRPr="00156F51">
              <w:rPr>
                <w:rFonts w:cs="Times New Roman"/>
                <w:sz w:val="26"/>
                <w:szCs w:val="26"/>
              </w:rPr>
              <w:t>Рецензент</w:t>
            </w:r>
            <w:r>
              <w:rPr>
                <w:rFonts w:cs="Times New Roman"/>
                <w:sz w:val="26"/>
                <w:szCs w:val="26"/>
              </w:rPr>
              <w:t xml:space="preserve"> </w:t>
            </w:r>
            <w:r w:rsidRPr="00726254">
              <w:rPr>
                <w:rFonts w:cs="Times New Roman"/>
                <w:i/>
                <w:sz w:val="26"/>
                <w:szCs w:val="26"/>
              </w:rPr>
              <w:t>(если имеется)</w:t>
            </w:r>
          </w:p>
          <w:p w14:paraId="6964069A" w14:textId="77777777" w:rsidR="00320653" w:rsidRPr="00156F51" w:rsidRDefault="00320653" w:rsidP="00374055">
            <w:pPr>
              <w:ind w:right="567"/>
              <w:rPr>
                <w:rFonts w:cs="Times New Roman"/>
                <w:sz w:val="26"/>
                <w:szCs w:val="26"/>
              </w:rPr>
            </w:pPr>
            <w:r w:rsidRPr="00156F51">
              <w:rPr>
                <w:rFonts w:cs="Times New Roman"/>
                <w:sz w:val="26"/>
                <w:szCs w:val="26"/>
              </w:rPr>
              <w:t>д-р ______наук, проф.</w:t>
            </w:r>
          </w:p>
          <w:p w14:paraId="3D5E20E1" w14:textId="77777777" w:rsidR="00320653" w:rsidRPr="00156F51" w:rsidRDefault="00320653" w:rsidP="00374055">
            <w:pPr>
              <w:ind w:right="567"/>
              <w:rPr>
                <w:rFonts w:cs="Times New Roman"/>
                <w:sz w:val="26"/>
                <w:szCs w:val="26"/>
              </w:rPr>
            </w:pPr>
            <w:r w:rsidRPr="00156F51">
              <w:rPr>
                <w:rFonts w:cs="Times New Roman"/>
                <w:sz w:val="26"/>
                <w:szCs w:val="26"/>
              </w:rPr>
              <w:t>___________________</w:t>
            </w:r>
          </w:p>
          <w:p w14:paraId="5F2036E5" w14:textId="77777777" w:rsidR="00320653" w:rsidRPr="00156F51" w:rsidRDefault="00320653" w:rsidP="00374055">
            <w:pPr>
              <w:ind w:right="567"/>
              <w:rPr>
                <w:rFonts w:cs="Times New Roman"/>
                <w:sz w:val="26"/>
                <w:szCs w:val="26"/>
              </w:rPr>
            </w:pPr>
            <w:r w:rsidRPr="00156F51">
              <w:rPr>
                <w:rFonts w:cs="Times New Roman"/>
                <w:sz w:val="26"/>
                <w:szCs w:val="26"/>
              </w:rPr>
              <w:t>И.О. Фамилия</w:t>
            </w:r>
          </w:p>
          <w:p w14:paraId="6AA304E7" w14:textId="77777777" w:rsidR="00320653" w:rsidRDefault="00320653" w:rsidP="00374055">
            <w:pPr>
              <w:ind w:right="567"/>
              <w:jc w:val="right"/>
              <w:rPr>
                <w:rFonts w:cs="Times New Roman"/>
                <w:sz w:val="26"/>
                <w:szCs w:val="26"/>
              </w:rPr>
            </w:pPr>
          </w:p>
          <w:p w14:paraId="18CA6EB8" w14:textId="77777777" w:rsidR="00320653" w:rsidRPr="00156F51" w:rsidRDefault="00320653" w:rsidP="00374055">
            <w:pPr>
              <w:ind w:right="567"/>
              <w:jc w:val="right"/>
              <w:rPr>
                <w:rFonts w:cs="Times New Roman"/>
                <w:sz w:val="26"/>
                <w:szCs w:val="26"/>
              </w:rPr>
            </w:pPr>
          </w:p>
          <w:p w14:paraId="70AB0FB9" w14:textId="77777777" w:rsidR="00320653" w:rsidRDefault="00320653" w:rsidP="00374055">
            <w:pPr>
              <w:ind w:right="567"/>
              <w:jc w:val="right"/>
              <w:rPr>
                <w:rFonts w:cs="Times New Roman"/>
                <w:sz w:val="26"/>
                <w:szCs w:val="26"/>
              </w:rPr>
            </w:pPr>
          </w:p>
          <w:p w14:paraId="6D871960" w14:textId="116636B7" w:rsidR="00320653" w:rsidRPr="00156F51" w:rsidRDefault="00320653" w:rsidP="00374055">
            <w:pPr>
              <w:ind w:right="567"/>
              <w:jc w:val="right"/>
              <w:rPr>
                <w:rFonts w:cs="Times New Roman"/>
                <w:sz w:val="26"/>
                <w:szCs w:val="26"/>
              </w:rPr>
            </w:pPr>
            <w:r>
              <w:rPr>
                <w:rFonts w:cs="Times New Roman"/>
                <w:sz w:val="26"/>
                <w:szCs w:val="26"/>
              </w:rPr>
              <w:t xml:space="preserve">  </w:t>
            </w:r>
            <w:r>
              <w:rPr>
                <w:rFonts w:cs="Times New Roman"/>
                <w:sz w:val="26"/>
                <w:szCs w:val="26"/>
                <w:lang w:val="en-US"/>
              </w:rPr>
              <w:t xml:space="preserve"> </w:t>
            </w:r>
            <w:r w:rsidRPr="00156F51">
              <w:rPr>
                <w:rFonts w:cs="Times New Roman"/>
                <w:sz w:val="26"/>
                <w:szCs w:val="26"/>
              </w:rPr>
              <w:t>Москва 202</w:t>
            </w:r>
            <w:r>
              <w:rPr>
                <w:rFonts w:cs="Times New Roman"/>
                <w:sz w:val="26"/>
                <w:szCs w:val="26"/>
              </w:rPr>
              <w:t>6</w:t>
            </w:r>
          </w:p>
        </w:tc>
        <w:tc>
          <w:tcPr>
            <w:tcW w:w="4938" w:type="dxa"/>
          </w:tcPr>
          <w:p w14:paraId="72E56ABD" w14:textId="77777777" w:rsidR="00320653" w:rsidRPr="00156F51" w:rsidRDefault="00320653" w:rsidP="00374055">
            <w:pPr>
              <w:ind w:right="567"/>
              <w:jc w:val="right"/>
              <w:rPr>
                <w:rFonts w:cs="Times New Roman"/>
                <w:sz w:val="26"/>
                <w:szCs w:val="26"/>
              </w:rPr>
            </w:pPr>
            <w:r>
              <w:rPr>
                <w:rFonts w:cs="Times New Roman"/>
                <w:sz w:val="26"/>
                <w:szCs w:val="26"/>
              </w:rPr>
              <w:t>Р</w:t>
            </w:r>
            <w:r w:rsidRPr="00156F51">
              <w:rPr>
                <w:rFonts w:cs="Times New Roman"/>
                <w:sz w:val="26"/>
                <w:szCs w:val="26"/>
              </w:rPr>
              <w:t>уководитель</w:t>
            </w:r>
          </w:p>
          <w:p w14:paraId="663CC008" w14:textId="62EF2B9D" w:rsidR="00320653" w:rsidRPr="00156F51" w:rsidRDefault="00320653" w:rsidP="00374055">
            <w:pPr>
              <w:ind w:right="567"/>
              <w:jc w:val="right"/>
              <w:rPr>
                <w:rFonts w:cs="Times New Roman"/>
                <w:sz w:val="26"/>
                <w:szCs w:val="26"/>
              </w:rPr>
            </w:pPr>
            <w:r>
              <w:rPr>
                <w:rFonts w:cs="Times New Roman"/>
                <w:sz w:val="26"/>
                <w:szCs w:val="26"/>
              </w:rPr>
              <w:t>Старший преподаватель ФКН ВШЭ</w:t>
            </w:r>
            <w:r w:rsidRPr="00156F51">
              <w:rPr>
                <w:rFonts w:cs="Times New Roman"/>
                <w:sz w:val="26"/>
                <w:szCs w:val="26"/>
              </w:rPr>
              <w:t>.</w:t>
            </w:r>
          </w:p>
          <w:p w14:paraId="439FD7FC" w14:textId="5F7F1EB7" w:rsidR="00320653" w:rsidRPr="00156F51" w:rsidRDefault="00320653" w:rsidP="00374055">
            <w:pPr>
              <w:ind w:right="567"/>
              <w:jc w:val="right"/>
              <w:rPr>
                <w:rFonts w:cs="Times New Roman"/>
                <w:sz w:val="26"/>
                <w:szCs w:val="26"/>
              </w:rPr>
            </w:pPr>
            <w:r>
              <w:rPr>
                <w:rFonts w:cs="Times New Roman"/>
                <w:sz w:val="26"/>
                <w:szCs w:val="26"/>
              </w:rPr>
              <w:t xml:space="preserve">Ю.И. </w:t>
            </w:r>
            <w:proofErr w:type="spellStart"/>
            <w:r>
              <w:rPr>
                <w:rFonts w:cs="Times New Roman"/>
                <w:sz w:val="26"/>
                <w:szCs w:val="26"/>
              </w:rPr>
              <w:t>Саночкин</w:t>
            </w:r>
            <w:proofErr w:type="spellEnd"/>
          </w:p>
          <w:p w14:paraId="676610CC" w14:textId="496D037A" w:rsidR="00320653" w:rsidRPr="00156F51" w:rsidRDefault="00320653" w:rsidP="00320653">
            <w:pPr>
              <w:spacing w:after="0"/>
              <w:ind w:right="567"/>
              <w:jc w:val="right"/>
              <w:rPr>
                <w:rFonts w:cs="Times New Roman"/>
                <w:sz w:val="26"/>
                <w:szCs w:val="26"/>
              </w:rPr>
            </w:pPr>
          </w:p>
        </w:tc>
      </w:tr>
    </w:tbl>
    <w:sdt>
      <w:sdtPr>
        <w:rPr>
          <w:rFonts w:ascii="Times New Roman" w:eastAsiaTheme="minorHAnsi" w:hAnsi="Times New Roman" w:cs="Times New Roman"/>
          <w:b/>
          <w:bCs/>
          <w:color w:val="auto"/>
          <w:sz w:val="28"/>
          <w:szCs w:val="22"/>
          <w:lang w:eastAsia="en-US"/>
        </w:rPr>
        <w:id w:val="-343932070"/>
        <w:docPartObj>
          <w:docPartGallery w:val="Table of Contents"/>
          <w:docPartUnique/>
        </w:docPartObj>
      </w:sdtPr>
      <w:sdtEndPr>
        <w:rPr>
          <w:rFonts w:cstheme="minorBidi"/>
        </w:rPr>
      </w:sdtEndPr>
      <w:sdtContent>
        <w:p w14:paraId="4EE885A8" w14:textId="7DAE8E86" w:rsidR="00320653" w:rsidRPr="00320653" w:rsidRDefault="00320653">
          <w:pPr>
            <w:pStyle w:val="af0"/>
            <w:rPr>
              <w:rFonts w:ascii="Times New Roman" w:hAnsi="Times New Roman" w:cs="Times New Roman"/>
              <w:b/>
              <w:bCs/>
              <w:color w:val="auto"/>
            </w:rPr>
          </w:pPr>
          <w:r w:rsidRPr="00320653">
            <w:rPr>
              <w:rFonts w:ascii="Times New Roman" w:hAnsi="Times New Roman" w:cs="Times New Roman"/>
              <w:b/>
              <w:bCs/>
              <w:color w:val="auto"/>
            </w:rPr>
            <w:t>Оглавление</w:t>
          </w:r>
        </w:p>
        <w:p w14:paraId="15CC5A71" w14:textId="220F5D98" w:rsidR="007F49FF" w:rsidRDefault="00320653">
          <w:pPr>
            <w:pStyle w:val="11"/>
            <w:tabs>
              <w:tab w:val="right" w:leader="dot" w:pos="9345"/>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28624555" w:history="1">
            <w:r w:rsidR="007F49FF" w:rsidRPr="00F01EB1">
              <w:rPr>
                <w:rStyle w:val="af1"/>
                <w:noProof/>
                <w:lang w:val="en-US"/>
              </w:rPr>
              <w:t>Introduction</w:t>
            </w:r>
            <w:r w:rsidR="007F49FF">
              <w:rPr>
                <w:noProof/>
                <w:webHidden/>
              </w:rPr>
              <w:tab/>
            </w:r>
            <w:r w:rsidR="007F49FF">
              <w:rPr>
                <w:noProof/>
                <w:webHidden/>
              </w:rPr>
              <w:fldChar w:fldCharType="begin"/>
            </w:r>
            <w:r w:rsidR="007F49FF">
              <w:rPr>
                <w:noProof/>
                <w:webHidden/>
              </w:rPr>
              <w:instrText xml:space="preserve"> PAGEREF _Toc228624555 \h </w:instrText>
            </w:r>
            <w:r w:rsidR="007F49FF">
              <w:rPr>
                <w:noProof/>
                <w:webHidden/>
              </w:rPr>
            </w:r>
            <w:r w:rsidR="007F49FF">
              <w:rPr>
                <w:noProof/>
                <w:webHidden/>
              </w:rPr>
              <w:fldChar w:fldCharType="separate"/>
            </w:r>
            <w:r w:rsidR="007F49FF">
              <w:rPr>
                <w:noProof/>
                <w:webHidden/>
              </w:rPr>
              <w:t>3</w:t>
            </w:r>
            <w:r w:rsidR="007F49FF">
              <w:rPr>
                <w:noProof/>
                <w:webHidden/>
              </w:rPr>
              <w:fldChar w:fldCharType="end"/>
            </w:r>
          </w:hyperlink>
        </w:p>
        <w:p w14:paraId="5BB66E27" w14:textId="289EC3F9" w:rsidR="007F49FF" w:rsidRDefault="007F49FF">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8624556" w:history="1">
            <w:r w:rsidRPr="00F01EB1">
              <w:rPr>
                <w:rStyle w:val="af1"/>
                <w:noProof/>
              </w:rPr>
              <w:t>Literature Review and Research Background</w:t>
            </w:r>
            <w:r>
              <w:rPr>
                <w:noProof/>
                <w:webHidden/>
              </w:rPr>
              <w:tab/>
            </w:r>
            <w:r>
              <w:rPr>
                <w:noProof/>
                <w:webHidden/>
              </w:rPr>
              <w:fldChar w:fldCharType="begin"/>
            </w:r>
            <w:r>
              <w:rPr>
                <w:noProof/>
                <w:webHidden/>
              </w:rPr>
              <w:instrText xml:space="preserve"> PAGEREF _Toc228624556 \h </w:instrText>
            </w:r>
            <w:r>
              <w:rPr>
                <w:noProof/>
                <w:webHidden/>
              </w:rPr>
            </w:r>
            <w:r>
              <w:rPr>
                <w:noProof/>
                <w:webHidden/>
              </w:rPr>
              <w:fldChar w:fldCharType="separate"/>
            </w:r>
            <w:r>
              <w:rPr>
                <w:noProof/>
                <w:webHidden/>
              </w:rPr>
              <w:t>6</w:t>
            </w:r>
            <w:r>
              <w:rPr>
                <w:noProof/>
                <w:webHidden/>
              </w:rPr>
              <w:fldChar w:fldCharType="end"/>
            </w:r>
          </w:hyperlink>
        </w:p>
        <w:p w14:paraId="00ACA47D" w14:textId="4F6B781F" w:rsidR="007F49FF" w:rsidRDefault="007F49FF">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8624557" w:history="1">
            <w:r w:rsidRPr="00F01EB1">
              <w:rPr>
                <w:rStyle w:val="af1"/>
                <w:noProof/>
                <w:lang w:val="en-US"/>
              </w:rPr>
              <w:t>Practical part</w:t>
            </w:r>
            <w:r>
              <w:rPr>
                <w:noProof/>
                <w:webHidden/>
              </w:rPr>
              <w:tab/>
            </w:r>
            <w:r>
              <w:rPr>
                <w:noProof/>
                <w:webHidden/>
              </w:rPr>
              <w:fldChar w:fldCharType="begin"/>
            </w:r>
            <w:r>
              <w:rPr>
                <w:noProof/>
                <w:webHidden/>
              </w:rPr>
              <w:instrText xml:space="preserve"> PAGEREF _Toc228624557 \h </w:instrText>
            </w:r>
            <w:r>
              <w:rPr>
                <w:noProof/>
                <w:webHidden/>
              </w:rPr>
            </w:r>
            <w:r>
              <w:rPr>
                <w:noProof/>
                <w:webHidden/>
              </w:rPr>
              <w:fldChar w:fldCharType="separate"/>
            </w:r>
            <w:r>
              <w:rPr>
                <w:noProof/>
                <w:webHidden/>
              </w:rPr>
              <w:t>19</w:t>
            </w:r>
            <w:r>
              <w:rPr>
                <w:noProof/>
                <w:webHidden/>
              </w:rPr>
              <w:fldChar w:fldCharType="end"/>
            </w:r>
          </w:hyperlink>
        </w:p>
        <w:p w14:paraId="7A2F0C79" w14:textId="3A026E6F" w:rsidR="007F49FF" w:rsidRDefault="007F49FF">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8624558" w:history="1">
            <w:r w:rsidRPr="00F01EB1">
              <w:rPr>
                <w:rStyle w:val="af1"/>
                <w:noProof/>
                <w:lang w:val="en-US"/>
              </w:rPr>
              <w:t>References</w:t>
            </w:r>
            <w:r>
              <w:rPr>
                <w:noProof/>
                <w:webHidden/>
              </w:rPr>
              <w:tab/>
            </w:r>
            <w:r>
              <w:rPr>
                <w:noProof/>
                <w:webHidden/>
              </w:rPr>
              <w:fldChar w:fldCharType="begin"/>
            </w:r>
            <w:r>
              <w:rPr>
                <w:noProof/>
                <w:webHidden/>
              </w:rPr>
              <w:instrText xml:space="preserve"> PAGEREF _Toc228624558 \h </w:instrText>
            </w:r>
            <w:r>
              <w:rPr>
                <w:noProof/>
                <w:webHidden/>
              </w:rPr>
            </w:r>
            <w:r>
              <w:rPr>
                <w:noProof/>
                <w:webHidden/>
              </w:rPr>
              <w:fldChar w:fldCharType="separate"/>
            </w:r>
            <w:r>
              <w:rPr>
                <w:noProof/>
                <w:webHidden/>
              </w:rPr>
              <w:t>20</w:t>
            </w:r>
            <w:r>
              <w:rPr>
                <w:noProof/>
                <w:webHidden/>
              </w:rPr>
              <w:fldChar w:fldCharType="end"/>
            </w:r>
          </w:hyperlink>
        </w:p>
        <w:p w14:paraId="495C57DF" w14:textId="79FE7F95" w:rsidR="00320653" w:rsidRDefault="00320653">
          <w:r>
            <w:rPr>
              <w:b/>
              <w:bCs/>
            </w:rPr>
            <w:fldChar w:fldCharType="end"/>
          </w:r>
        </w:p>
      </w:sdtContent>
    </w:sdt>
    <w:p w14:paraId="4FC0C909" w14:textId="04DCC91F" w:rsidR="00320653" w:rsidRDefault="00320653">
      <w:pPr>
        <w:spacing w:after="160" w:line="278" w:lineRule="auto"/>
        <w:ind w:firstLine="0"/>
      </w:pPr>
      <w:r>
        <w:br w:type="page"/>
      </w:r>
    </w:p>
    <w:p w14:paraId="251C62AF" w14:textId="1AFED491" w:rsidR="00320653" w:rsidRPr="00E01FAE" w:rsidRDefault="00E01FAE" w:rsidP="00320653">
      <w:pPr>
        <w:pStyle w:val="1"/>
        <w:rPr>
          <w:lang w:val="en-US"/>
        </w:rPr>
      </w:pPr>
      <w:bookmarkStart w:id="0" w:name="_Toc228624555"/>
      <w:r>
        <w:rPr>
          <w:lang w:val="en-US"/>
        </w:rPr>
        <w:lastRenderedPageBreak/>
        <w:t>Introduction</w:t>
      </w:r>
      <w:bookmarkEnd w:id="0"/>
    </w:p>
    <w:p w14:paraId="43109BF0" w14:textId="56ECFE1F" w:rsidR="00320653" w:rsidRDefault="00A327B8">
      <w:pPr>
        <w:rPr>
          <w:lang w:val="en-US"/>
        </w:rPr>
      </w:pPr>
      <w:r w:rsidRPr="00A327B8">
        <w:rPr>
          <w:lang w:val="en-US"/>
        </w:rPr>
        <w:t xml:space="preserve">Employee engagement </w:t>
      </w:r>
      <w:r w:rsidR="00E01FAE">
        <w:rPr>
          <w:lang w:val="en-US"/>
        </w:rPr>
        <w:t xml:space="preserve">is one of the most important indicators that helps to evaluate quality of </w:t>
      </w:r>
      <w:r w:rsidRPr="00A327B8">
        <w:rPr>
          <w:lang w:val="en-US"/>
        </w:rPr>
        <w:t>work environment</w:t>
      </w:r>
      <w:r>
        <w:rPr>
          <w:lang w:val="en-US"/>
        </w:rPr>
        <w:t xml:space="preserve"> </w:t>
      </w:r>
      <w:r w:rsidR="00E01FAE">
        <w:rPr>
          <w:lang w:val="en-US"/>
        </w:rPr>
        <w:t>in company. This is especially important for big companies because engagement decrease can be provided by staff turnover growth</w:t>
      </w:r>
      <w:r w:rsidR="00E01FAE" w:rsidRPr="00E01FAE">
        <w:rPr>
          <w:lang w:val="en-US"/>
        </w:rPr>
        <w:t>,</w:t>
      </w:r>
      <w:r w:rsidR="00E01FAE">
        <w:rPr>
          <w:lang w:val="en-US"/>
        </w:rPr>
        <w:t xml:space="preserve"> decrease of common job quality and financial health. Sometimes</w:t>
      </w:r>
      <w:r w:rsidR="00E01FAE" w:rsidRPr="00E01FAE">
        <w:rPr>
          <w:lang w:val="en-US"/>
        </w:rPr>
        <w:t xml:space="preserve">, </w:t>
      </w:r>
      <w:r w:rsidR="00E01FAE">
        <w:rPr>
          <w:lang w:val="en-US"/>
        </w:rPr>
        <w:t>engagement can’t be watched in operational data only. More popular option to evaluate engagement is surveys</w:t>
      </w:r>
      <w:r w:rsidR="00E01FAE" w:rsidRPr="00E01FAE">
        <w:rPr>
          <w:lang w:val="en-US"/>
        </w:rPr>
        <w:t>,</w:t>
      </w:r>
      <w:r w:rsidR="00E01FAE">
        <w:rPr>
          <w:lang w:val="en-US"/>
        </w:rPr>
        <w:t xml:space="preserve"> but they have its own limitations: requires to be frequent</w:t>
      </w:r>
      <w:r w:rsidR="00E01FAE" w:rsidRPr="00E01FAE">
        <w:rPr>
          <w:lang w:val="en-US"/>
        </w:rPr>
        <w:t xml:space="preserve">, </w:t>
      </w:r>
      <w:r w:rsidR="00E01FAE">
        <w:rPr>
          <w:lang w:val="en-US"/>
        </w:rPr>
        <w:t>employee’s honesty and methods of surveys.</w:t>
      </w:r>
    </w:p>
    <w:p w14:paraId="20AC37D0" w14:textId="3921AF00" w:rsidR="00BA4C58" w:rsidRDefault="00E01FAE" w:rsidP="00BA4C58">
      <w:pPr>
        <w:rPr>
          <w:lang w:val="en-US"/>
        </w:rPr>
      </w:pPr>
      <w:r>
        <w:rPr>
          <w:lang w:val="en-US"/>
        </w:rPr>
        <w:t>Nowadays</w:t>
      </w:r>
      <w:r w:rsidRPr="00E01FAE">
        <w:rPr>
          <w:lang w:val="en-US"/>
        </w:rPr>
        <w:t>,</w:t>
      </w:r>
      <w:r>
        <w:rPr>
          <w:lang w:val="en-US"/>
        </w:rPr>
        <w:t xml:space="preserve"> big data contains many information about employee’s job: metrics of sales</w:t>
      </w:r>
      <w:r w:rsidRPr="00E01FAE">
        <w:rPr>
          <w:lang w:val="en-US"/>
        </w:rPr>
        <w:t>,</w:t>
      </w:r>
      <w:r>
        <w:rPr>
          <w:lang w:val="en-US"/>
        </w:rPr>
        <w:t xml:space="preserve"> task completion rate and quality</w:t>
      </w:r>
      <w:r w:rsidRPr="00E01FAE">
        <w:rPr>
          <w:lang w:val="en-US"/>
        </w:rPr>
        <w:t>,</w:t>
      </w:r>
      <w:r>
        <w:rPr>
          <w:lang w:val="en-US"/>
        </w:rPr>
        <w:t xml:space="preserve"> their activity and exceeding of plan etc. All this data can be used </w:t>
      </w:r>
      <w:r w:rsidR="00BA4C58">
        <w:rPr>
          <w:lang w:val="en-US"/>
        </w:rPr>
        <w:t xml:space="preserve">not only to measure results but </w:t>
      </w:r>
      <w:r>
        <w:rPr>
          <w:lang w:val="en-US"/>
        </w:rPr>
        <w:t xml:space="preserve">to observe </w:t>
      </w:r>
      <w:r w:rsidR="00BA4C58">
        <w:rPr>
          <w:lang w:val="en-US"/>
        </w:rPr>
        <w:t>employee’s behavior changes early</w:t>
      </w:r>
      <w:r w:rsidR="00BA4C58" w:rsidRPr="00BA4C58">
        <w:rPr>
          <w:lang w:val="en-US"/>
        </w:rPr>
        <w:t xml:space="preserve">. </w:t>
      </w:r>
      <w:r w:rsidR="00BA4C58">
        <w:rPr>
          <w:lang w:val="en-US"/>
        </w:rPr>
        <w:t>In this way we should designate an engagement as a hidden metric which can be observed through operational metrics. If employee starts to make less job or make it worse</w:t>
      </w:r>
      <w:r w:rsidR="00BA4C58" w:rsidRPr="00BA4C58">
        <w:rPr>
          <w:lang w:val="en-US"/>
        </w:rPr>
        <w:t>,</w:t>
      </w:r>
      <w:r w:rsidR="00BA4C58">
        <w:rPr>
          <w:lang w:val="en-US"/>
        </w:rPr>
        <w:t xml:space="preserve"> rarely takes party in different activities or shows results decrease</w:t>
      </w:r>
      <w:r w:rsidR="00BA4C58" w:rsidRPr="00BA4C58">
        <w:rPr>
          <w:lang w:val="en-US"/>
        </w:rPr>
        <w:t>,</w:t>
      </w:r>
      <w:r w:rsidR="00BA4C58">
        <w:rPr>
          <w:lang w:val="en-US"/>
        </w:rPr>
        <w:t xml:space="preserve"> it can be a signal of changes in his engagement.</w:t>
      </w:r>
    </w:p>
    <w:p w14:paraId="5089CE06" w14:textId="048BD365" w:rsidR="00BA4C58" w:rsidRDefault="00BA4C58" w:rsidP="00BA4C58">
      <w:pPr>
        <w:rPr>
          <w:lang w:val="en-US"/>
        </w:rPr>
      </w:pPr>
      <w:r>
        <w:rPr>
          <w:lang w:val="en-US"/>
        </w:rPr>
        <w:t>But it’s too risky to replace engagement evaluation with KPIs. Operational metrics can show not only an engagement but also external conditions: load</w:t>
      </w:r>
      <w:r w:rsidRPr="00BA4C58">
        <w:rPr>
          <w:lang w:val="en-US"/>
        </w:rPr>
        <w:t>,</w:t>
      </w:r>
      <w:r>
        <w:rPr>
          <w:lang w:val="en-US"/>
        </w:rPr>
        <w:t xml:space="preserve"> seasonality</w:t>
      </w:r>
      <w:r w:rsidRPr="00BA4C58">
        <w:rPr>
          <w:lang w:val="en-US"/>
        </w:rPr>
        <w:t xml:space="preserve">, </w:t>
      </w:r>
      <w:r>
        <w:rPr>
          <w:lang w:val="en-US"/>
        </w:rPr>
        <w:t>regional factors</w:t>
      </w:r>
      <w:r w:rsidRPr="00BA4C58">
        <w:rPr>
          <w:lang w:val="en-US"/>
        </w:rPr>
        <w:t>,</w:t>
      </w:r>
      <w:r>
        <w:rPr>
          <w:lang w:val="en-US"/>
        </w:rPr>
        <w:t xml:space="preserve"> global process changes</w:t>
      </w:r>
      <w:r w:rsidRPr="00BA4C58">
        <w:rPr>
          <w:lang w:val="en-US"/>
        </w:rPr>
        <w:t>,</w:t>
      </w:r>
      <w:r>
        <w:rPr>
          <w:lang w:val="en-US"/>
        </w:rPr>
        <w:t xml:space="preserve"> quality of management and other factors. It means that the target is not about mechanically sign </w:t>
      </w:r>
      <w:r w:rsidR="00776C4C">
        <w:rPr>
          <w:lang w:val="en-US"/>
        </w:rPr>
        <w:t>a</w:t>
      </w:r>
      <w:r>
        <w:rPr>
          <w:lang w:val="en-US"/>
        </w:rPr>
        <w:t xml:space="preserve"> set of operational metrics as an engagement</w:t>
      </w:r>
      <w:r w:rsidRPr="00BA4C58">
        <w:rPr>
          <w:lang w:val="en-US"/>
        </w:rPr>
        <w:t>,</w:t>
      </w:r>
      <w:r>
        <w:rPr>
          <w:lang w:val="en-US"/>
        </w:rPr>
        <w:t xml:space="preserve"> but to construct a justified system where metrics can be carefully used</w:t>
      </w:r>
      <w:r w:rsidRPr="00BA4C58">
        <w:rPr>
          <w:lang w:val="en-US"/>
        </w:rPr>
        <w:t>,</w:t>
      </w:r>
      <w:r>
        <w:rPr>
          <w:lang w:val="en-US"/>
        </w:rPr>
        <w:t xml:space="preserve"> depending on time-series structure of data</w:t>
      </w:r>
      <w:r w:rsidRPr="00BA4C58">
        <w:rPr>
          <w:lang w:val="en-US"/>
        </w:rPr>
        <w:t>,</w:t>
      </w:r>
      <w:r>
        <w:rPr>
          <w:lang w:val="en-US"/>
        </w:rPr>
        <w:t xml:space="preserve"> risk of data-leakage to link it with further financial results.</w:t>
      </w:r>
    </w:p>
    <w:p w14:paraId="1F7BC497" w14:textId="4F378961" w:rsidR="00BA4C58" w:rsidRDefault="00BA4C58" w:rsidP="00BA4C58">
      <w:pPr>
        <w:rPr>
          <w:lang w:val="en-US"/>
        </w:rPr>
      </w:pPr>
      <w:r>
        <w:rPr>
          <w:lang w:val="en-US"/>
        </w:rPr>
        <w:t>Relevance of this study</w:t>
      </w:r>
      <w:r w:rsidR="00776C4C">
        <w:rPr>
          <w:lang w:val="en-US"/>
        </w:rPr>
        <w:t xml:space="preserve"> is based on point that business needs not only HR-metric in report but also a tool which helps to understand how employee’s condition affects company’s results. It’s important for qualified management to see risk points</w:t>
      </w:r>
      <w:r w:rsidR="00776C4C" w:rsidRPr="00776C4C">
        <w:rPr>
          <w:lang w:val="en-US"/>
        </w:rPr>
        <w:t>,</w:t>
      </w:r>
      <w:r w:rsidR="00776C4C">
        <w:rPr>
          <w:lang w:val="en-US"/>
        </w:rPr>
        <w:t xml:space="preserve"> evaluate and understand which factors cause engagement drop in advance. For business also important to transfer these changes to finances: PV and NPV decrease</w:t>
      </w:r>
      <w:r w:rsidR="00776C4C" w:rsidRPr="00776C4C">
        <w:rPr>
          <w:lang w:val="en-US"/>
        </w:rPr>
        <w:t xml:space="preserve">, </w:t>
      </w:r>
      <w:r w:rsidR="00776C4C">
        <w:rPr>
          <w:lang w:val="en-US"/>
        </w:rPr>
        <w:t>expenses growth</w:t>
      </w:r>
      <w:r w:rsidR="00776C4C" w:rsidRPr="00776C4C">
        <w:rPr>
          <w:lang w:val="en-US"/>
        </w:rPr>
        <w:t>,</w:t>
      </w:r>
      <w:r w:rsidR="00776C4C">
        <w:rPr>
          <w:lang w:val="en-US"/>
        </w:rPr>
        <w:t xml:space="preserve"> product quality abatement.</w:t>
      </w:r>
    </w:p>
    <w:p w14:paraId="7090C09F" w14:textId="19313C75" w:rsidR="00776C4C" w:rsidRDefault="00776C4C" w:rsidP="00BA4C58">
      <w:pPr>
        <w:rPr>
          <w:lang w:val="en-US"/>
        </w:rPr>
      </w:pPr>
      <w:r>
        <w:rPr>
          <w:lang w:val="en-US"/>
        </w:rPr>
        <w:lastRenderedPageBreak/>
        <w:t>An aim of this study is to develop a system of engagement index evaluation and analysis of it’s links with financial metrics of company using machine learning methods.</w:t>
      </w:r>
    </w:p>
    <w:p w14:paraId="5B592683" w14:textId="3BB00E0E" w:rsidR="00776C4C" w:rsidRDefault="00776C4C" w:rsidP="00BA4C58">
      <w:pPr>
        <w:rPr>
          <w:lang w:val="en-US"/>
        </w:rPr>
      </w:pPr>
      <w:r>
        <w:rPr>
          <w:lang w:val="en-US"/>
        </w:rPr>
        <w:t>To reach an aim following tasks were set:</w:t>
      </w:r>
    </w:p>
    <w:p w14:paraId="66933201" w14:textId="35906EDC" w:rsidR="00776C4C" w:rsidRDefault="00776C4C" w:rsidP="00776C4C">
      <w:pPr>
        <w:pStyle w:val="a7"/>
        <w:numPr>
          <w:ilvl w:val="0"/>
          <w:numId w:val="1"/>
        </w:numPr>
        <w:rPr>
          <w:lang w:val="en-US"/>
        </w:rPr>
      </w:pPr>
      <w:r>
        <w:rPr>
          <w:lang w:val="en-US"/>
        </w:rPr>
        <w:t>Research theorical methods of engagement evaluation</w:t>
      </w:r>
      <w:r w:rsidRPr="00776C4C">
        <w:rPr>
          <w:lang w:val="en-US"/>
        </w:rPr>
        <w:t>,</w:t>
      </w:r>
      <w:r>
        <w:rPr>
          <w:lang w:val="en-US"/>
        </w:rPr>
        <w:t xml:space="preserve"> it’s links with employee turnover</w:t>
      </w:r>
      <w:r w:rsidRPr="00776C4C">
        <w:rPr>
          <w:lang w:val="en-US"/>
        </w:rPr>
        <w:t>,</w:t>
      </w:r>
      <w:r>
        <w:rPr>
          <w:lang w:val="en-US"/>
        </w:rPr>
        <w:t xml:space="preserve"> efficiency and financial results.</w:t>
      </w:r>
    </w:p>
    <w:p w14:paraId="3E792396" w14:textId="0656AE5B" w:rsidR="00776C4C" w:rsidRDefault="00776C4C" w:rsidP="00776C4C">
      <w:pPr>
        <w:pStyle w:val="a7"/>
        <w:numPr>
          <w:ilvl w:val="0"/>
          <w:numId w:val="1"/>
        </w:numPr>
        <w:rPr>
          <w:lang w:val="en-US"/>
        </w:rPr>
      </w:pPr>
      <w:r>
        <w:rPr>
          <w:lang w:val="en-US"/>
        </w:rPr>
        <w:t>Find which operational metrics can be used as a base to measure employee</w:t>
      </w:r>
      <w:r w:rsidR="00A327B8">
        <w:t>у</w:t>
      </w:r>
      <w:r>
        <w:rPr>
          <w:lang w:val="en-US"/>
        </w:rPr>
        <w:t xml:space="preserve"> engagement.</w:t>
      </w:r>
    </w:p>
    <w:p w14:paraId="394C8EE3" w14:textId="2E459530" w:rsidR="00CE423A" w:rsidRDefault="00776C4C" w:rsidP="00776C4C">
      <w:pPr>
        <w:pStyle w:val="a7"/>
        <w:numPr>
          <w:ilvl w:val="0"/>
          <w:numId w:val="1"/>
        </w:numPr>
        <w:rPr>
          <w:lang w:val="en-US"/>
        </w:rPr>
      </w:pPr>
      <w:r w:rsidRPr="00776C4C">
        <w:rPr>
          <w:lang w:val="en-US"/>
        </w:rPr>
        <w:t>Create a dataset at the employee and time period level, taking into account operational, quality, and performance metrics.</w:t>
      </w:r>
    </w:p>
    <w:p w14:paraId="6F972F3A" w14:textId="79B49823" w:rsidR="00776C4C" w:rsidRDefault="00776C4C" w:rsidP="00776C4C">
      <w:pPr>
        <w:pStyle w:val="a7"/>
        <w:numPr>
          <w:ilvl w:val="0"/>
          <w:numId w:val="1"/>
        </w:numPr>
        <w:rPr>
          <w:lang w:val="en-US"/>
        </w:rPr>
      </w:pPr>
      <w:r>
        <w:rPr>
          <w:lang w:val="en-US"/>
        </w:rPr>
        <w:t>Construct a method to build and engagement index using available operational data</w:t>
      </w:r>
      <w:r w:rsidR="00A327B8">
        <w:rPr>
          <w:lang w:val="en-US"/>
        </w:rPr>
        <w:t>.</w:t>
      </w:r>
    </w:p>
    <w:p w14:paraId="3C4DDE55" w14:textId="203D81EF" w:rsidR="00776C4C" w:rsidRDefault="00776C4C" w:rsidP="00776C4C">
      <w:pPr>
        <w:pStyle w:val="a7"/>
        <w:numPr>
          <w:ilvl w:val="0"/>
          <w:numId w:val="1"/>
        </w:numPr>
        <w:rPr>
          <w:lang w:val="en-US"/>
        </w:rPr>
      </w:pPr>
      <w:r>
        <w:rPr>
          <w:lang w:val="en-US"/>
        </w:rPr>
        <w:t xml:space="preserve">Analise is there any fluence </w:t>
      </w:r>
      <w:r w:rsidR="00A327B8">
        <w:rPr>
          <w:lang w:val="en-US"/>
        </w:rPr>
        <w:t>of</w:t>
      </w:r>
      <w:r>
        <w:rPr>
          <w:lang w:val="en-US"/>
        </w:rPr>
        <w:t xml:space="preserve"> </w:t>
      </w:r>
      <w:r w:rsidR="00A327B8">
        <w:rPr>
          <w:lang w:val="en-US"/>
        </w:rPr>
        <w:t>calculated engagement index on financial results of company.</w:t>
      </w:r>
    </w:p>
    <w:p w14:paraId="11171CB4" w14:textId="471EAFD9" w:rsidR="00A327B8" w:rsidRDefault="00A327B8" w:rsidP="00776C4C">
      <w:pPr>
        <w:pStyle w:val="a7"/>
        <w:numPr>
          <w:ilvl w:val="0"/>
          <w:numId w:val="1"/>
        </w:numPr>
        <w:rPr>
          <w:lang w:val="en-US"/>
        </w:rPr>
      </w:pPr>
      <w:r>
        <w:rPr>
          <w:lang w:val="en-US"/>
        </w:rPr>
        <w:t>Develop a ML-model to evaluate and forecast engagement changes.</w:t>
      </w:r>
    </w:p>
    <w:p w14:paraId="486F87AB" w14:textId="5BA01C70" w:rsidR="00A327B8" w:rsidRDefault="00A327B8" w:rsidP="00776C4C">
      <w:pPr>
        <w:pStyle w:val="a7"/>
        <w:numPr>
          <w:ilvl w:val="0"/>
          <w:numId w:val="1"/>
        </w:numPr>
        <w:rPr>
          <w:lang w:val="en-US"/>
        </w:rPr>
      </w:pPr>
      <w:r>
        <w:rPr>
          <w:lang w:val="en-US"/>
        </w:rPr>
        <w:t>Analise quality metrics of models and interpret factors making flue on engagement index</w:t>
      </w:r>
    </w:p>
    <w:p w14:paraId="6552B734" w14:textId="6A90670F" w:rsidR="00A327B8" w:rsidRDefault="00A327B8" w:rsidP="00A327B8">
      <w:pPr>
        <w:pStyle w:val="a7"/>
        <w:numPr>
          <w:ilvl w:val="0"/>
          <w:numId w:val="1"/>
        </w:numPr>
        <w:rPr>
          <w:lang w:val="en-US"/>
        </w:rPr>
      </w:pPr>
      <w:r>
        <w:rPr>
          <w:lang w:val="en-US"/>
        </w:rPr>
        <w:t>E</w:t>
      </w:r>
      <w:r w:rsidRPr="00A327B8">
        <w:rPr>
          <w:lang w:val="en-US"/>
        </w:rPr>
        <w:t>valuate the practical applicability of the developed approach for HR analytics and performance management tasks</w:t>
      </w:r>
    </w:p>
    <w:p w14:paraId="5173117D" w14:textId="1C8C6F9D" w:rsidR="00A327B8" w:rsidRDefault="00A327B8" w:rsidP="00A327B8">
      <w:pPr>
        <w:rPr>
          <w:lang w:val="en-US"/>
        </w:rPr>
      </w:pPr>
      <w:r>
        <w:rPr>
          <w:lang w:val="en-US"/>
        </w:rPr>
        <w:t>The object of this study is company’s employees and their operational and financial metrics.</w:t>
      </w:r>
    </w:p>
    <w:p w14:paraId="06D892C9" w14:textId="3FEDDFB4" w:rsidR="00A327B8" w:rsidRPr="00A85FF7" w:rsidRDefault="00A327B8" w:rsidP="00A327B8">
      <w:pPr>
        <w:rPr>
          <w:lang w:val="en-US"/>
        </w:rPr>
      </w:pPr>
      <w:r w:rsidRPr="00A327B8">
        <w:rPr>
          <w:lang w:val="en-US"/>
        </w:rPr>
        <w:t>The subject of the study is a method for assessing the employee engagement index and analyzing its relationship with the company's financial performance.</w:t>
      </w:r>
    </w:p>
    <w:p w14:paraId="66287E1A" w14:textId="77777777" w:rsidR="00A327B8" w:rsidRPr="00A327B8" w:rsidRDefault="00A327B8" w:rsidP="00A327B8">
      <w:pPr>
        <w:rPr>
          <w:lang w:val="en-US"/>
        </w:rPr>
      </w:pPr>
      <w:r w:rsidRPr="00A327B8">
        <w:rPr>
          <w:lang w:val="en-US"/>
        </w:rPr>
        <w:t>As the main hypothesis of this study, it is assumed that changes in employee engagement can be partially identified using operational indicators of their work, and the calculated engagement index is linked with further financial results. In other words, engagement is considered not as an abstract characteristic, but as an indicator that can be reflected in employee behavior and later affect business results.</w:t>
      </w:r>
    </w:p>
    <w:p w14:paraId="3A7AA907" w14:textId="77777777" w:rsidR="00A327B8" w:rsidRPr="00A327B8" w:rsidRDefault="00A327B8" w:rsidP="00A327B8">
      <w:pPr>
        <w:rPr>
          <w:lang w:val="en-US"/>
        </w:rPr>
      </w:pPr>
      <w:r w:rsidRPr="00A327B8">
        <w:rPr>
          <w:lang w:val="en-US"/>
        </w:rPr>
        <w:lastRenderedPageBreak/>
        <w:t>The methodological basis of the study consists of data analysis methods, machine learning methods, and statistical modeling. The study uses feature engineering methods, time-based sample splitting, correlation analysis, classification and regression models, and interpretation of results from the business point of view. Special attention is paid to preventing data leakage, because when working with time-series data and financial metrics, there is a risk of accidentally using information from the future.</w:t>
      </w:r>
    </w:p>
    <w:p w14:paraId="0EB33582" w14:textId="77777777" w:rsidR="00A327B8" w:rsidRPr="00A327B8" w:rsidRDefault="00A327B8" w:rsidP="00A327B8">
      <w:pPr>
        <w:rPr>
          <w:lang w:val="en-US"/>
        </w:rPr>
      </w:pPr>
      <w:r w:rsidRPr="00A327B8">
        <w:rPr>
          <w:lang w:val="en-US"/>
        </w:rPr>
        <w:t>The scientific novelty of the study lies in the development of an approach to employee engagement assessment based on operational data, as well as in the analysis of the relationship between the calculated index and financial results. Unlike classical approaches, where engagement is most often measured through surveys, this study considers the possibility of building a model based on actual work indicators. This makes it possible to bring engagement assessment closer to regular monitoring and make it more applicable for management decisions.</w:t>
      </w:r>
    </w:p>
    <w:p w14:paraId="0C18660A" w14:textId="77777777" w:rsidR="00A327B8" w:rsidRPr="00A327B8" w:rsidRDefault="00A327B8" w:rsidP="00A327B8">
      <w:pPr>
        <w:rPr>
          <w:lang w:val="en-US"/>
        </w:rPr>
      </w:pPr>
      <w:r w:rsidRPr="00A327B8">
        <w:rPr>
          <w:lang w:val="en-US"/>
        </w:rPr>
        <w:t>The practical significance of the study is that the proposed approach can be used in HR analytics for early detection of engagement decline, analysis of risk factors, and assessment of possible financial effect. Such a system can help managers and HR specialists not only record the problem after it appears, but also see changes in employee behavior in advance. This is especially important for large companies, where even a small decrease in efficiency at the level of separate groups can lead to noticeable financial losses.</w:t>
      </w:r>
    </w:p>
    <w:p w14:paraId="41F67298" w14:textId="43FE4F2C" w:rsidR="00096F21" w:rsidRDefault="00A327B8" w:rsidP="00A327B8">
      <w:pPr>
        <w:rPr>
          <w:lang w:val="en-US"/>
        </w:rPr>
      </w:pPr>
      <w:r w:rsidRPr="00A327B8">
        <w:rPr>
          <w:lang w:val="en-US"/>
        </w:rPr>
        <w:t>The structure of the study includes an introduction, a theoretical chapter, a methodological chapter, a practical part, a conclusion, and a list of references. The first chapter considers approaches to defining employee engagement and its relationship with turnover, productivity, and financial results. The second chapter describes the data, features, logic of building the engagement index, and selected analysis methods. The third chapter presents modeling results, interpretation of factors, and assessment of the relationship between the engagement index and the company’s financial metrics.</w:t>
      </w:r>
    </w:p>
    <w:p w14:paraId="609EB7CE" w14:textId="09D956E7" w:rsidR="00A327B8" w:rsidRDefault="00096F21" w:rsidP="00096F21">
      <w:pPr>
        <w:pStyle w:val="1"/>
      </w:pPr>
      <w:bookmarkStart w:id="1" w:name="_Toc228624556"/>
      <w:proofErr w:type="spellStart"/>
      <w:r w:rsidRPr="00096F21">
        <w:lastRenderedPageBreak/>
        <w:t>Literature</w:t>
      </w:r>
      <w:proofErr w:type="spellEnd"/>
      <w:r w:rsidRPr="00096F21">
        <w:t xml:space="preserve"> Review </w:t>
      </w:r>
      <w:proofErr w:type="spellStart"/>
      <w:r w:rsidRPr="00096F21">
        <w:t>and</w:t>
      </w:r>
      <w:proofErr w:type="spellEnd"/>
      <w:r w:rsidRPr="00096F21">
        <w:t xml:space="preserve"> Research </w:t>
      </w:r>
      <w:proofErr w:type="spellStart"/>
      <w:r w:rsidRPr="00096F21">
        <w:t>Background</w:t>
      </w:r>
      <w:bookmarkEnd w:id="1"/>
      <w:proofErr w:type="spellEnd"/>
    </w:p>
    <w:p w14:paraId="154778C1" w14:textId="3BE0F4EA" w:rsidR="00E015BB" w:rsidRPr="00E015BB" w:rsidRDefault="00E015BB" w:rsidP="00E015BB">
      <w:pPr>
        <w:rPr>
          <w:lang w:val="en-US"/>
        </w:rPr>
      </w:pPr>
      <w:r w:rsidRPr="00E015BB">
        <w:rPr>
          <w:lang w:val="en-US"/>
        </w:rPr>
        <w:t>Employee engagement has become one of the most frequently measured “people” constructs in organizations because it promises a rare combination: conceptual proximity to day-to-day work behavior, managerial actionability, and potential linkage to organizational outcomes such as productivity, retention, customer outcomes, and profitability [1</w:t>
      </w:r>
      <w:r w:rsidRPr="00E015BB">
        <w:rPr>
          <w:lang w:val="en-US"/>
        </w:rPr>
        <w:t>,</w:t>
      </w:r>
      <w:r w:rsidRPr="00E015BB">
        <w:rPr>
          <w:lang w:val="en-US"/>
        </w:rPr>
        <w:t xml:space="preserve"> 2].</w:t>
      </w:r>
    </w:p>
    <w:p w14:paraId="71F039C2" w14:textId="3DC4191B" w:rsidR="00E015BB" w:rsidRPr="00E015BB" w:rsidRDefault="00E015BB" w:rsidP="00E015BB">
      <w:pPr>
        <w:rPr>
          <w:lang w:val="en-US"/>
        </w:rPr>
      </w:pPr>
      <w:r w:rsidRPr="00E015BB">
        <w:rPr>
          <w:lang w:val="en-US"/>
        </w:rPr>
        <w:t>At the same time, the scientific literature repeatedly stresses that “engagement” is not a single, universally agreed construct. Definitions vary across academic traditions (needs-based, motivational, burnout/energy, social exchange) and across practitioner frameworks (often mixing attitudes, resources, and behaviors) [2</w:t>
      </w:r>
      <w:r w:rsidRPr="00E015BB">
        <w:rPr>
          <w:lang w:val="en-US"/>
        </w:rPr>
        <w:t>,</w:t>
      </w:r>
      <w:r w:rsidRPr="00E015BB">
        <w:rPr>
          <w:lang w:val="en-US"/>
        </w:rPr>
        <w:t xml:space="preserve"> 3].</w:t>
      </w:r>
    </w:p>
    <w:p w14:paraId="27E4C9C7" w14:textId="1C254A7B" w:rsidR="00E015BB" w:rsidRPr="00E015BB" w:rsidRDefault="00E015BB" w:rsidP="00E015BB">
      <w:pPr>
        <w:rPr>
          <w:lang w:val="en-US"/>
        </w:rPr>
      </w:pPr>
      <w:r w:rsidRPr="00E015BB">
        <w:rPr>
          <w:lang w:val="en-US"/>
        </w:rPr>
        <w:t>This conceptual ambiguity matters for research design because what is being measured (a work-focused motivational state vs. perceptions about conditions vs. discretionary effort) determines the mechanisms that can be tested and the degree to which engagement can plausibly predict “hard” organizational metrics (financial indicators, incidents, quality) [2</w:t>
      </w:r>
      <w:r w:rsidRPr="00E015BB">
        <w:rPr>
          <w:lang w:val="en-US"/>
        </w:rPr>
        <w:t>,</w:t>
      </w:r>
      <w:r w:rsidRPr="00E015BB">
        <w:rPr>
          <w:lang w:val="en-US"/>
        </w:rPr>
        <w:t xml:space="preserve"> 3].</w:t>
      </w:r>
    </w:p>
    <w:p w14:paraId="0F1DAC57" w14:textId="2425CBF8" w:rsidR="00E015BB" w:rsidRPr="00E015BB" w:rsidRDefault="00E015BB" w:rsidP="00E015BB">
      <w:pPr>
        <w:rPr>
          <w:lang w:val="en-US"/>
        </w:rPr>
      </w:pPr>
      <w:r w:rsidRPr="00E015BB">
        <w:rPr>
          <w:lang w:val="en-US"/>
        </w:rPr>
        <w:t>A further contextual driver is the rapid expansion of people analytics and AI in HR. Contemporary reviews emphasize a gap between the promise of AI/ML and its practical reality in HR, highlighting: (a) the complexity and context-dependence of HR phenomena, (b) “small data” constraints and measurement noise, (c) accountability and fairness requirements, and (d) the risk of adverse employee reactions to algorithmic decisions [4</w:t>
      </w:r>
      <w:r w:rsidRPr="00E015BB">
        <w:rPr>
          <w:lang w:val="en-US"/>
        </w:rPr>
        <w:t>,</w:t>
      </w:r>
      <w:r w:rsidRPr="00E015BB">
        <w:rPr>
          <w:lang w:val="en-US"/>
        </w:rPr>
        <w:t xml:space="preserve"> 5].</w:t>
      </w:r>
    </w:p>
    <w:p w14:paraId="31FFB8C0" w14:textId="5A12032F" w:rsidR="00096F21" w:rsidRDefault="00E015BB" w:rsidP="00E015BB">
      <w:pPr>
        <w:rPr>
          <w:lang w:val="en-US"/>
        </w:rPr>
      </w:pPr>
      <w:r w:rsidRPr="00E015BB">
        <w:rPr>
          <w:lang w:val="en-US"/>
        </w:rPr>
        <w:t>Therefore, a research program that aims to develop a system for assessing an Employee Financial Impact Index and quantify its financial impact using machine learning is valuable for at least three reasons: it can (</w:t>
      </w:r>
      <w:proofErr w:type="spellStart"/>
      <w:r w:rsidRPr="00E015BB">
        <w:rPr>
          <w:lang w:val="en-US"/>
        </w:rPr>
        <w:t>i</w:t>
      </w:r>
      <w:proofErr w:type="spellEnd"/>
      <w:r w:rsidRPr="00E015BB">
        <w:rPr>
          <w:lang w:val="en-US"/>
        </w:rPr>
        <w:t>) impose construct clarity and measurement discipline, (ii) build a replicable analytics pipeline that integrates HR and financial data, and (iii) address methodological barriers to impact estimation (not merely prediction), including endogeneity and bias risks that are well documented in adjacent literatures [4</w:t>
      </w:r>
      <w:r w:rsidRPr="00E015BB">
        <w:rPr>
          <w:lang w:val="en-US"/>
        </w:rPr>
        <w:t xml:space="preserve">, </w:t>
      </w:r>
      <w:r w:rsidRPr="00E015BB">
        <w:rPr>
          <w:lang w:val="en-US"/>
        </w:rPr>
        <w:t>6].</w:t>
      </w:r>
    </w:p>
    <w:p w14:paraId="2392700E" w14:textId="406F0134" w:rsidR="00E015BB" w:rsidRPr="00E015BB" w:rsidRDefault="00E015BB" w:rsidP="00E015BB">
      <w:pPr>
        <w:rPr>
          <w:lang w:val="en-US"/>
        </w:rPr>
      </w:pPr>
      <w:r w:rsidRPr="00E015BB">
        <w:rPr>
          <w:lang w:val="en-US"/>
        </w:rPr>
        <w:lastRenderedPageBreak/>
        <w:t>A widely recognized starting point in academic engagement research is the view that engagement concerns the degree to which individuals invest their physical, cognitive, and emotional energies into role performance, and that such investment depends on psychological conditions such as meaningfulness, safety, and availability [1].</w:t>
      </w:r>
    </w:p>
    <w:p w14:paraId="43E17BE3" w14:textId="78B4BCD3" w:rsidR="00E015BB" w:rsidRPr="00E015BB" w:rsidRDefault="00E015BB" w:rsidP="00E015BB">
      <w:pPr>
        <w:rPr>
          <w:lang w:val="en-US"/>
        </w:rPr>
      </w:pPr>
      <w:r w:rsidRPr="00E015BB">
        <w:rPr>
          <w:lang w:val="en-US"/>
        </w:rPr>
        <w:t>Later reviews argue that the term “employee engagement” is frequently used to refer to different things: psychological states, traits, behaviors, and also their antecedents and outcomes. This creates a risk of tautology (defining engagement partly by the outcomes it is supposed to predict), which complicates measurement and causal claims [2</w:t>
      </w:r>
      <w:r w:rsidRPr="00E015BB">
        <w:rPr>
          <w:lang w:val="en-US"/>
        </w:rPr>
        <w:t>,</w:t>
      </w:r>
      <w:r w:rsidRPr="00E015BB">
        <w:rPr>
          <w:lang w:val="en-US"/>
        </w:rPr>
        <w:t xml:space="preserve"> 3].</w:t>
      </w:r>
    </w:p>
    <w:p w14:paraId="3C5A9326" w14:textId="41466A17" w:rsidR="00E015BB" w:rsidRPr="00E015BB" w:rsidRDefault="00E015BB" w:rsidP="00E015BB">
      <w:pPr>
        <w:rPr>
          <w:lang w:val="en-US"/>
        </w:rPr>
      </w:pPr>
      <w:r w:rsidRPr="00E015BB">
        <w:rPr>
          <w:lang w:val="en-US"/>
        </w:rPr>
        <w:t>One influential way to reduce ambiguity is to treat “work engagement” as a work-related, positive, fulfilling state and to distinguish it from (a) organizational commitment, (b) job satisfaction, and (c) organizational citizenship behavior. Evidence syntheses emphasize that these constructs are correlated but not interchangeable; moreover, in meta-analytic evidence, different work attitudes show different patterns of association with task performance vs. contextual performance [3].</w:t>
      </w:r>
    </w:p>
    <w:p w14:paraId="79CBF0EB" w14:textId="77777777" w:rsidR="00E015BB" w:rsidRPr="00E015BB" w:rsidRDefault="00E015BB" w:rsidP="00E015BB">
      <w:pPr>
        <w:rPr>
          <w:lang w:val="en-US"/>
        </w:rPr>
      </w:pPr>
      <w:r w:rsidRPr="00E015BB">
        <w:rPr>
          <w:lang w:val="en-US"/>
        </w:rPr>
        <w:t>Two theoretical families are especially important for engagement research that intends to connect to performance and money:</w:t>
      </w:r>
    </w:p>
    <w:p w14:paraId="1FE65897" w14:textId="11B02F23" w:rsidR="00E015BB" w:rsidRPr="00E015BB" w:rsidRDefault="00E015BB" w:rsidP="00E015BB">
      <w:pPr>
        <w:rPr>
          <w:lang w:val="en-US"/>
        </w:rPr>
      </w:pPr>
      <w:r w:rsidRPr="00E015BB">
        <w:rPr>
          <w:lang w:val="en-US"/>
        </w:rPr>
        <w:t>First, social exchange theory provides a mechanism: when employees perceive beneficial treatment (e.g., support, fairness, growth opportunities), they may feel obligated to reciprocate through higher engagement, discretionary effort, and retention-related behaviors [7</w:t>
      </w:r>
      <w:r w:rsidRPr="00E015BB">
        <w:rPr>
          <w:lang w:val="en-US"/>
        </w:rPr>
        <w:t>,</w:t>
      </w:r>
      <w:r w:rsidRPr="00E015BB">
        <w:rPr>
          <w:lang w:val="en-US"/>
        </w:rPr>
        <w:t xml:space="preserve"> 8]. Empirical studies focusing on engagement often lean on this logic, operationalizing organizational support and procedural justice as key antecedents [7</w:t>
      </w:r>
      <w:r w:rsidRPr="00E015BB">
        <w:rPr>
          <w:lang w:val="en-US"/>
        </w:rPr>
        <w:t>,</w:t>
      </w:r>
      <w:r w:rsidRPr="00E015BB">
        <w:rPr>
          <w:lang w:val="en-US"/>
        </w:rPr>
        <w:t xml:space="preserve"> 8].</w:t>
      </w:r>
    </w:p>
    <w:p w14:paraId="62E15E03" w14:textId="34D9303B" w:rsidR="00E015BB" w:rsidRPr="00E015BB" w:rsidRDefault="00E015BB" w:rsidP="00E015BB">
      <w:r w:rsidRPr="00E015BB">
        <w:rPr>
          <w:lang w:val="en-US"/>
        </w:rPr>
        <w:t xml:space="preserve">Second, the Job Demands–Resources (JD–R) model frames engagement as emerging from the balance of job demands and job resources. In this view, job resources (e.g., feedback, autonomy, social support) support motivation and engagement, while excessive demands contribute to strain and burnout; importantly, </w:t>
      </w:r>
      <w:r w:rsidRPr="00E015BB">
        <w:rPr>
          <w:lang w:val="en-US"/>
        </w:rPr>
        <w:lastRenderedPageBreak/>
        <w:t>the JD–R model is designed to generalize across occupations by allowing demands/resources to be context-specific [9].</w:t>
      </w:r>
    </w:p>
    <w:p w14:paraId="7AE08C07" w14:textId="1D7E37B0" w:rsidR="00E015BB" w:rsidRPr="00E015BB" w:rsidRDefault="00E015BB" w:rsidP="00E015BB">
      <w:pPr>
        <w:rPr>
          <w:lang w:val="en-US"/>
        </w:rPr>
      </w:pPr>
      <w:r w:rsidRPr="00E015BB">
        <w:rPr>
          <w:lang w:val="en-US"/>
        </w:rPr>
        <w:t>For a research design targeting financial impact, these theories are practically useful because they define actionable levers (resources, support, fairness) that can be modeled as drivers of engagement and, in turn, of performance outcomes that have plausible cost/benefit links (turnover, productivity, quality, incidents) [7</w:t>
      </w:r>
      <w:r w:rsidRPr="00E015BB">
        <w:rPr>
          <w:lang w:val="en-US"/>
        </w:rPr>
        <w:t>,8,</w:t>
      </w:r>
      <w:r w:rsidRPr="00E015BB">
        <w:rPr>
          <w:lang w:val="en-US"/>
        </w:rPr>
        <w:t>10].</w:t>
      </w:r>
    </w:p>
    <w:p w14:paraId="04A3D85E" w14:textId="7D0BB8FF" w:rsidR="00E015BB" w:rsidRDefault="00E015BB" w:rsidP="00E015BB">
      <w:r w:rsidRPr="00E015BB">
        <w:rPr>
          <w:lang w:val="en-US"/>
        </w:rPr>
        <w:t xml:space="preserve">Finally, a strategic management framing can justify why engagement might matter at the company-performance level. The resource-based view argues that firm performance differences can arise from valuable, rare, inimitable, and organizationally embedded resources; human capital and workforce-related capabilities are often treated as candidates for such resources [11]. </w:t>
      </w:r>
    </w:p>
    <w:p w14:paraId="596D9452" w14:textId="5E58130E" w:rsidR="00E015BB" w:rsidRPr="00E015BB" w:rsidRDefault="00E015BB" w:rsidP="00E015BB">
      <w:pPr>
        <w:rPr>
          <w:lang w:val="en-US"/>
        </w:rPr>
      </w:pPr>
      <w:r w:rsidRPr="00E015BB">
        <w:rPr>
          <w:lang w:val="en-US"/>
        </w:rPr>
        <w:t>A large share of empirical engagement work relies on standardized self-report scales. One prominent approach models engagement and burnout jointly and applies confirmatory factor analytic logic to distinguish positive engagement dimensions from burnout-related dimensions [12].</w:t>
      </w:r>
    </w:p>
    <w:p w14:paraId="5BDFE395" w14:textId="70AC28C1" w:rsidR="00E015BB" w:rsidRPr="00E015BB" w:rsidRDefault="00E015BB" w:rsidP="00E015BB">
      <w:pPr>
        <w:rPr>
          <w:lang w:val="en-US"/>
        </w:rPr>
      </w:pPr>
      <w:r w:rsidRPr="00E015BB">
        <w:rPr>
          <w:lang w:val="en-US"/>
        </w:rPr>
        <w:t>However, both academic and practitioner reviews warn that many “engagement” instruments include items that are not engagement states per se, but rather drivers or work conditions (e.g., clarity, resources, recognition). This matters because if an index mixes predictors with the outcome, later models estimating “impact” risk conflating cause and effect [2; 3].</w:t>
      </w:r>
    </w:p>
    <w:p w14:paraId="372AA425" w14:textId="198DEA81" w:rsidR="00E015BB" w:rsidRPr="00E015BB" w:rsidRDefault="00E015BB" w:rsidP="00E015BB">
      <w:pPr>
        <w:rPr>
          <w:lang w:val="en-US"/>
        </w:rPr>
      </w:pPr>
      <w:r w:rsidRPr="00E015BB">
        <w:rPr>
          <w:lang w:val="en-US"/>
        </w:rPr>
        <w:t xml:space="preserve">A particularly important conceptual distinction is between measuring (a) </w:t>
      </w:r>
      <w:r w:rsidRPr="00E015BB">
        <w:rPr>
          <w:b/>
          <w:bCs/>
          <w:lang w:val="en-US"/>
        </w:rPr>
        <w:t>engagement as a psychological connection to work tasks</w:t>
      </w:r>
      <w:r w:rsidRPr="00E015BB">
        <w:rPr>
          <w:lang w:val="en-US"/>
        </w:rPr>
        <w:t xml:space="preserve"> and (b) </w:t>
      </w:r>
      <w:r w:rsidRPr="00E015BB">
        <w:rPr>
          <w:b/>
          <w:bCs/>
          <w:lang w:val="en-US"/>
        </w:rPr>
        <w:t>perceptions of organizational practices and conditions</w:t>
      </w:r>
      <w:r w:rsidRPr="00E015BB">
        <w:rPr>
          <w:lang w:val="en-US"/>
        </w:rPr>
        <w:t>. Meta-analytic work has explicitly noted that some practitioner instruments (e.g., audits of work conditions) may not align with engagement definitions focused on task-related investment [10].</w:t>
      </w:r>
    </w:p>
    <w:p w14:paraId="79E7F12F" w14:textId="4731D1C5" w:rsidR="00E015BB" w:rsidRDefault="00E015BB" w:rsidP="00E015BB">
      <w:r w:rsidRPr="00E015BB">
        <w:rPr>
          <w:lang w:val="en-US"/>
        </w:rPr>
        <w:t xml:space="preserve">For a system intended to support </w:t>
      </w:r>
      <w:r w:rsidRPr="00E015BB">
        <w:rPr>
          <w:b/>
          <w:bCs/>
          <w:lang w:val="en-US"/>
        </w:rPr>
        <w:t>ML-based assessment</w:t>
      </w:r>
      <w:r w:rsidRPr="00E015BB">
        <w:rPr>
          <w:lang w:val="en-US"/>
        </w:rPr>
        <w:t xml:space="preserve">, measurement choices become even more critical because the engagement variable becomes a prediction target (label) or a latent construct inferred from multiple signals. If the </w:t>
      </w:r>
      <w:r w:rsidRPr="00E015BB">
        <w:rPr>
          <w:lang w:val="en-US"/>
        </w:rPr>
        <w:lastRenderedPageBreak/>
        <w:t>target is noisy or conceptually mixed, predictive performance might look acceptable while interpretability and causal inference break down [4</w:t>
      </w:r>
      <w:r w:rsidRPr="00E015BB">
        <w:rPr>
          <w:lang w:val="en-US"/>
        </w:rPr>
        <w:t>,</w:t>
      </w:r>
      <w:r w:rsidRPr="00E015BB">
        <w:rPr>
          <w:lang w:val="en-US"/>
        </w:rPr>
        <w:t xml:space="preserve"> 6].</w:t>
      </w:r>
    </w:p>
    <w:p w14:paraId="7D0F494F" w14:textId="32EF6F9D" w:rsidR="009D6445" w:rsidRPr="009D6445" w:rsidRDefault="009D6445" w:rsidP="009D6445">
      <w:pPr>
        <w:rPr>
          <w:lang w:val="en-US"/>
        </w:rPr>
      </w:pPr>
      <w:r w:rsidRPr="009D6445">
        <w:rPr>
          <w:lang w:val="en-US"/>
        </w:rPr>
        <w:t>Engagement indices often aggregate multiple items into subscales and/or a total score, which makes internal consistency and scale reliability central. Classical reliability logic (e.g., coefficient alpha) formalizes the idea that a test should provide consistent measurement across items representing the same latent construct [13].</w:t>
      </w:r>
    </w:p>
    <w:p w14:paraId="4E7C5B00" w14:textId="6FBEFF41" w:rsidR="009D6445" w:rsidRPr="009D6445" w:rsidRDefault="009D6445" w:rsidP="009D6445">
      <w:pPr>
        <w:rPr>
          <w:lang w:val="en-US"/>
        </w:rPr>
      </w:pPr>
      <w:r w:rsidRPr="009D6445">
        <w:rPr>
          <w:lang w:val="en-US"/>
        </w:rPr>
        <w:t>Yet, it is well established that high internal consistency is not sufficient for validity. Reliability can be inflated by redundancy, while common measurement methods can bias observed relationships among constructs (common method variance), particularly when the same survey instrument and timing are used for antecedents, engagement, and self-rated outcomes [6].</w:t>
      </w:r>
    </w:p>
    <w:p w14:paraId="2D805287" w14:textId="01A3AABA" w:rsidR="009D6445" w:rsidRDefault="009D6445" w:rsidP="009D6445">
      <w:r w:rsidRPr="009D6445">
        <w:rPr>
          <w:lang w:val="en-US"/>
        </w:rPr>
        <w:t xml:space="preserve">These concerns directly affect your thesis theme because a central ambition is to quantify </w:t>
      </w:r>
      <w:r w:rsidRPr="009D6445">
        <w:rPr>
          <w:i/>
          <w:iCs/>
          <w:lang w:val="en-US"/>
        </w:rPr>
        <w:t>financial impact</w:t>
      </w:r>
      <w:r w:rsidRPr="009D6445">
        <w:rPr>
          <w:lang w:val="en-US"/>
        </w:rPr>
        <w:t>. If engagement and presumed mediators/outcomes are collected by the same method, the “impact” estimates risk reflecting shared method effects rather than real operational or financial differences [6].</w:t>
      </w:r>
    </w:p>
    <w:p w14:paraId="59E4D203" w14:textId="77777777" w:rsidR="009D6445" w:rsidRPr="009D6445" w:rsidRDefault="009D6445" w:rsidP="009D6445">
      <w:pPr>
        <w:rPr>
          <w:lang w:val="en-US"/>
        </w:rPr>
      </w:pPr>
      <w:r w:rsidRPr="009D6445">
        <w:rPr>
          <w:lang w:val="en-US"/>
        </w:rPr>
        <w:t>A system for an “Employee Engagement Index” typically must make explicit decisions on:</w:t>
      </w:r>
    </w:p>
    <w:p w14:paraId="3A5999C7" w14:textId="77777777" w:rsidR="009D6445" w:rsidRPr="009D6445" w:rsidRDefault="009D6445" w:rsidP="009D6445">
      <w:pPr>
        <w:numPr>
          <w:ilvl w:val="0"/>
          <w:numId w:val="3"/>
        </w:numPr>
        <w:rPr>
          <w:lang w:val="en-US"/>
        </w:rPr>
      </w:pPr>
      <w:r w:rsidRPr="009D6445">
        <w:rPr>
          <w:lang w:val="en-US"/>
        </w:rPr>
        <w:t>which components (subscales, items, behavioral indicators) are included;</w:t>
      </w:r>
    </w:p>
    <w:p w14:paraId="1A6D3539" w14:textId="77777777" w:rsidR="009D6445" w:rsidRPr="009D6445" w:rsidRDefault="009D6445" w:rsidP="009D6445">
      <w:pPr>
        <w:numPr>
          <w:ilvl w:val="0"/>
          <w:numId w:val="3"/>
        </w:numPr>
        <w:rPr>
          <w:lang w:val="en-US"/>
        </w:rPr>
      </w:pPr>
      <w:r w:rsidRPr="009D6445">
        <w:rPr>
          <w:lang w:val="en-US"/>
        </w:rPr>
        <w:t>how they are normalized and weighted;</w:t>
      </w:r>
    </w:p>
    <w:p w14:paraId="6A9F7B95" w14:textId="77777777" w:rsidR="009D6445" w:rsidRPr="009D6445" w:rsidRDefault="009D6445" w:rsidP="009D6445">
      <w:pPr>
        <w:numPr>
          <w:ilvl w:val="0"/>
          <w:numId w:val="3"/>
        </w:numPr>
        <w:rPr>
          <w:lang w:val="en-US"/>
        </w:rPr>
      </w:pPr>
      <w:r w:rsidRPr="009D6445">
        <w:rPr>
          <w:lang w:val="en-US"/>
        </w:rPr>
        <w:t>how they are aggregated (additive, multiplicative, hierarchical);</w:t>
      </w:r>
    </w:p>
    <w:p w14:paraId="035505F5" w14:textId="77777777" w:rsidR="009D6445" w:rsidRPr="009D6445" w:rsidRDefault="009D6445" w:rsidP="009D6445">
      <w:pPr>
        <w:numPr>
          <w:ilvl w:val="0"/>
          <w:numId w:val="3"/>
        </w:numPr>
        <w:rPr>
          <w:lang w:val="en-US"/>
        </w:rPr>
      </w:pPr>
      <w:r w:rsidRPr="009D6445">
        <w:rPr>
          <w:lang w:val="en-US"/>
        </w:rPr>
        <w:t>how uncertainty and sensitivity are assessed.</w:t>
      </w:r>
    </w:p>
    <w:p w14:paraId="6FD24106" w14:textId="284BFF71" w:rsidR="009D6445" w:rsidRPr="009D6445" w:rsidRDefault="009D6445" w:rsidP="009D6445">
      <w:pPr>
        <w:rPr>
          <w:lang w:val="en-US"/>
        </w:rPr>
      </w:pPr>
      <w:r w:rsidRPr="009D6445">
        <w:rPr>
          <w:lang w:val="en-US"/>
        </w:rPr>
        <w:t>Methodological guidance on composite indicators emphasizes that index construction is not neutral: normalization and weighting can change rankings and effect sizes; therefore, robustness checks and transparency are part of scientific validity, not optional reporting polish [14].</w:t>
      </w:r>
    </w:p>
    <w:p w14:paraId="701565C9" w14:textId="152D1599" w:rsidR="009D6445" w:rsidRPr="009D6445" w:rsidRDefault="009D6445" w:rsidP="009D6445">
      <w:pPr>
        <w:rPr>
          <w:lang w:val="en-US"/>
        </w:rPr>
      </w:pPr>
      <w:r w:rsidRPr="009D6445">
        <w:rPr>
          <w:lang w:val="en-US"/>
        </w:rPr>
        <w:t xml:space="preserve">In an ML-enabled engagement system, the index can play two roles. It can be the dependent variable predicted from HR and digital signals, </w:t>
      </w:r>
      <w:proofErr w:type="gramStart"/>
      <w:r w:rsidRPr="009D6445">
        <w:rPr>
          <w:lang w:val="en-US"/>
        </w:rPr>
        <w:t>or  an</w:t>
      </w:r>
      <w:proofErr w:type="gramEnd"/>
      <w:r w:rsidRPr="009D6445">
        <w:rPr>
          <w:lang w:val="en-US"/>
        </w:rPr>
        <w:t xml:space="preserve"> intermediate </w:t>
      </w:r>
      <w:r w:rsidRPr="009D6445">
        <w:rPr>
          <w:lang w:val="en-US"/>
        </w:rPr>
        <w:lastRenderedPageBreak/>
        <w:t>construct used to forecast outcomes (turnover, productivity proxies, financial KPIs). In both cases, the index must be stable enough to function as a target, but also interpretable enough to be actionable by HR and line managers [4</w:t>
      </w:r>
      <w:r w:rsidRPr="009D6445">
        <w:rPr>
          <w:lang w:val="en-US"/>
        </w:rPr>
        <w:t>,</w:t>
      </w:r>
      <w:r w:rsidRPr="009D6445">
        <w:rPr>
          <w:lang w:val="en-US"/>
        </w:rPr>
        <w:t xml:space="preserve"> 14].</w:t>
      </w:r>
    </w:p>
    <w:p w14:paraId="6138801C" w14:textId="6769BE83" w:rsidR="009D6445" w:rsidRPr="009D6445" w:rsidRDefault="009D6445" w:rsidP="009D6445">
      <w:pPr>
        <w:rPr>
          <w:lang w:val="en-US"/>
        </w:rPr>
      </w:pPr>
      <w:r w:rsidRPr="009D6445">
        <w:rPr>
          <w:lang w:val="en-US"/>
        </w:rPr>
        <w:t>Recent organizational practice increasingly includes open-ended survey comments, internal communications, and external employee-review platforms. Research in organizational science and analytics argues that textual data can be transformed into quantified work-attitude measures using NLP, enabling scalable measurement beyond Likert items—though with important validity and reliability caveats [15].</w:t>
      </w:r>
    </w:p>
    <w:p w14:paraId="4F978B30" w14:textId="534EE762" w:rsidR="009D6445" w:rsidRPr="009D6445" w:rsidRDefault="009D6445" w:rsidP="009D6445">
      <w:pPr>
        <w:rPr>
          <w:lang w:val="en-US"/>
        </w:rPr>
      </w:pPr>
      <w:r w:rsidRPr="009D6445">
        <w:rPr>
          <w:lang w:val="en-US"/>
        </w:rPr>
        <w:t>Studies on open-text survey fields suggest these channels can reveal pragmatic workplace issues that do not fully align with structured survey questions, and that topic modeling (including structural topic models) can extract coherent themes with limited manual coding when analysis choices are well controlled [16].</w:t>
      </w:r>
    </w:p>
    <w:p w14:paraId="03C38230" w14:textId="72F4987D" w:rsidR="009D6445" w:rsidRPr="009D6445" w:rsidRDefault="009D6445" w:rsidP="009D6445">
      <w:pPr>
        <w:rPr>
          <w:lang w:val="en-US"/>
        </w:rPr>
      </w:pPr>
      <w:r w:rsidRPr="009D6445">
        <w:rPr>
          <w:lang w:val="en-US"/>
        </w:rPr>
        <w:t>For an engagement-index system, this literature implies a promising hybrid measurement strategy: retain validated core scales for construct continuity, while using NLP layers for diagnostic depth and early-warning signals. The research challenge is to avoid treating text-derived sentiment as a direct proxy for engagement unless validated against reliable targets [15</w:t>
      </w:r>
      <w:r w:rsidRPr="009D6445">
        <w:rPr>
          <w:lang w:val="en-US"/>
        </w:rPr>
        <w:t>,</w:t>
      </w:r>
      <w:r w:rsidRPr="009D6445">
        <w:rPr>
          <w:lang w:val="en-US"/>
        </w:rPr>
        <w:t xml:space="preserve"> 16].</w:t>
      </w:r>
    </w:p>
    <w:p w14:paraId="21060246" w14:textId="1AD773F8" w:rsidR="009D6445" w:rsidRPr="009D6445" w:rsidRDefault="009D6445" w:rsidP="009D6445">
      <w:r w:rsidRPr="009D6445">
        <w:rPr>
          <w:lang w:val="en-US"/>
        </w:rPr>
        <w:t>High-quality evidence connecting engagement to organizational performance often comes from large-scale, unit-level meta-analyses that link aggregated employee survey measures to business outcomes supplied by organizations. A seminal meta-analysis examined relationships between unit-level satisfaction/engagement and outcomes including customer satisfaction, productivity, profit, turnover, and accidents, reporting generalizable relationships of practical value across a large number of business units [17].</w:t>
      </w:r>
    </w:p>
    <w:p w14:paraId="7E92032E" w14:textId="565A2177" w:rsidR="009D6445" w:rsidRPr="009D6445" w:rsidRDefault="009D6445" w:rsidP="009D6445">
      <w:r w:rsidRPr="009D6445">
        <w:rPr>
          <w:lang w:val="en-US"/>
        </w:rPr>
        <w:t xml:space="preserve">Another influential meta-analytic review defines work engagement as a relatively enduring state reflecting the investment of personal energies into work and tests its relations with task performance and contextual performance. This work supports engagement as a motivational construct with meaningful correlational links </w:t>
      </w:r>
      <w:r w:rsidRPr="009D6445">
        <w:rPr>
          <w:lang w:val="en-US"/>
        </w:rPr>
        <w:lastRenderedPageBreak/>
        <w:t>to performance-related outcomes and clarifies measurement inclusion criteria for engagement constructs [10].</w:t>
      </w:r>
    </w:p>
    <w:p w14:paraId="20D2FE35" w14:textId="28D7AF21" w:rsidR="009D6445" w:rsidRPr="009D6445" w:rsidRDefault="009D6445" w:rsidP="009D6445">
      <w:pPr>
        <w:rPr>
          <w:lang w:val="en-US"/>
        </w:rPr>
      </w:pPr>
      <w:r w:rsidRPr="009D6445">
        <w:rPr>
          <w:lang w:val="en-US"/>
        </w:rPr>
        <w:t xml:space="preserve">At minimum, the literature supports a strong practical claim: </w:t>
      </w:r>
      <w:r w:rsidRPr="009D6445">
        <w:rPr>
          <w:b/>
          <w:bCs/>
          <w:lang w:val="en-US"/>
        </w:rPr>
        <w:t>engagement is systematically associated with performance-relevant outcomes at individual and unit levels</w:t>
      </w:r>
      <w:r w:rsidRPr="009D6445">
        <w:rPr>
          <w:lang w:val="en-US"/>
        </w:rPr>
        <w:t>, though effect magnitude depends on measurement choices, level of analysis, and the presence of common-method bias [6</w:t>
      </w:r>
      <w:r w:rsidRPr="009D6445">
        <w:rPr>
          <w:lang w:val="en-US"/>
        </w:rPr>
        <w:t xml:space="preserve">, </w:t>
      </w:r>
      <w:r w:rsidRPr="009D6445">
        <w:rPr>
          <w:lang w:val="en-US"/>
        </w:rPr>
        <w:t>10</w:t>
      </w:r>
      <w:r w:rsidRPr="009D6445">
        <w:rPr>
          <w:lang w:val="en-US"/>
        </w:rPr>
        <w:t>,</w:t>
      </w:r>
      <w:r w:rsidRPr="009D6445">
        <w:rPr>
          <w:lang w:val="en-US"/>
        </w:rPr>
        <w:t xml:space="preserve"> 17].</w:t>
      </w:r>
    </w:p>
    <w:p w14:paraId="74DF652A" w14:textId="1776F0F6" w:rsidR="009D6445" w:rsidRDefault="009D6445" w:rsidP="009D6445">
      <w:r w:rsidRPr="009D6445">
        <w:rPr>
          <w:lang w:val="en-US"/>
        </w:rPr>
        <w:t xml:space="preserve">The link between engagement and financial performance is rarely direct in organizational data because finance outcomes (profit, cash flow, shareholder returns) are influenced by many factors. The strongest conceptual approach is to model engagement as affecting </w:t>
      </w:r>
      <w:r w:rsidRPr="009D6445">
        <w:rPr>
          <w:i/>
          <w:iCs/>
          <w:lang w:val="en-US"/>
        </w:rPr>
        <w:t>operational drivers</w:t>
      </w:r>
      <w:r w:rsidRPr="009D6445">
        <w:rPr>
          <w:lang w:val="en-US"/>
        </w:rPr>
        <w:t xml:space="preserve"> of financial performance—productivity, quality, accidents, turnover and retention—then connect these to cost and revenue components [17].</w:t>
      </w:r>
    </w:p>
    <w:p w14:paraId="00EA2E0C" w14:textId="174A65F6" w:rsidR="009D6445" w:rsidRDefault="009D6445" w:rsidP="009D6445">
      <w:r w:rsidRPr="009D6445">
        <w:rPr>
          <w:lang w:val="en-US"/>
        </w:rPr>
        <w:t>Turnover is a central bridge variable because it is both behaviorally plausible as an engagement outcome and economically costly. A major review of turnover theory and research (across a century of work in applied psychology) emphasizes the complexity of turnover processes and the need to distinguish mechanisms, predictors, and contexts when drawing actionable conclusions [18].</w:t>
      </w:r>
    </w:p>
    <w:p w14:paraId="2BAC0DDE" w14:textId="16832666" w:rsidR="009D6445" w:rsidRDefault="009D6445" w:rsidP="009D6445">
      <w:r w:rsidRPr="009D6445">
        <w:rPr>
          <w:lang w:val="en-US"/>
        </w:rPr>
        <w:t>On the cost side, replacement and recruitment costs have been empirically studied at the firm level. Evidence from business surveys indicates that replacement costs can be substantial relative to annual wages and vary systematically by job and firm characteristics [19].</w:t>
      </w:r>
    </w:p>
    <w:p w14:paraId="73773EFD" w14:textId="77777777" w:rsidR="009D6445" w:rsidRDefault="009D6445" w:rsidP="009D6445">
      <w:pPr>
        <w:rPr>
          <w:lang w:val="en-US"/>
        </w:rPr>
      </w:pPr>
      <w:r w:rsidRPr="009D6445">
        <w:rPr>
          <w:lang w:val="en-US"/>
        </w:rPr>
        <w:t>Therefore, a financially grounded engagement-impact model often follows a chain</w:t>
      </w:r>
      <w:r>
        <w:rPr>
          <w:lang w:val="en-US"/>
        </w:rPr>
        <w:t xml:space="preserve"> </w:t>
      </w:r>
      <w:r w:rsidRPr="009D6445">
        <w:rPr>
          <w:lang w:val="en-US"/>
        </w:rPr>
        <w:t>such</w:t>
      </w:r>
      <w:r>
        <w:rPr>
          <w:lang w:val="en-US"/>
        </w:rPr>
        <w:t xml:space="preserve"> </w:t>
      </w:r>
      <w:r w:rsidRPr="009D6445">
        <w:rPr>
          <w:lang w:val="en-US"/>
        </w:rPr>
        <w:t>as:</w:t>
      </w:r>
      <w:r>
        <w:rPr>
          <w:lang w:val="en-US"/>
        </w:rPr>
        <w:t xml:space="preserve"> </w:t>
      </w:r>
    </w:p>
    <w:p w14:paraId="7B9E3DB7" w14:textId="00B2867A" w:rsidR="009D6445" w:rsidRDefault="009D6445" w:rsidP="009D6445">
      <w:pPr>
        <w:rPr>
          <w:lang w:val="en-US"/>
        </w:rPr>
      </w:pPr>
      <w:r w:rsidRPr="009D6445">
        <w:rPr>
          <w:b/>
          <w:bCs/>
          <w:lang w:val="en-US"/>
        </w:rPr>
        <w:t xml:space="preserve">engagement </w:t>
      </w:r>
      <w:r>
        <w:rPr>
          <w:b/>
          <w:bCs/>
          <w:lang w:val="en-US"/>
        </w:rPr>
        <w:t>&gt;</w:t>
      </w:r>
      <w:r w:rsidRPr="009D6445">
        <w:rPr>
          <w:b/>
          <w:bCs/>
          <w:lang w:val="en-US"/>
        </w:rPr>
        <w:t xml:space="preserve"> retention/turnover, absenteeism, safety, quality, productivity → financial outcomes (costs, margins)</w:t>
      </w:r>
      <w:r w:rsidRPr="009D6445">
        <w:rPr>
          <w:lang w:val="en-US"/>
        </w:rPr>
        <w:t xml:space="preserve"> </w:t>
      </w:r>
    </w:p>
    <w:p w14:paraId="344E7487" w14:textId="40B85B95" w:rsidR="009D6445" w:rsidRDefault="009D6445" w:rsidP="009D6445">
      <w:pPr>
        <w:rPr>
          <w:lang w:val="en-US"/>
        </w:rPr>
      </w:pPr>
      <w:r w:rsidRPr="009D6445">
        <w:rPr>
          <w:lang w:val="en-US"/>
        </w:rPr>
        <w:t>This chain is consistent with meta-analytic evidence that includes turnover, profit, and productivity among measured outcomes at the business-unit level [17].</w:t>
      </w:r>
    </w:p>
    <w:p w14:paraId="181A3593" w14:textId="77777777" w:rsidR="009D6445" w:rsidRPr="009D6445" w:rsidRDefault="009D6445" w:rsidP="009D6445">
      <w:pPr>
        <w:rPr>
          <w:lang w:val="en-US"/>
        </w:rPr>
      </w:pPr>
      <w:r w:rsidRPr="009D6445">
        <w:rPr>
          <w:lang w:val="en-US"/>
        </w:rPr>
        <w:lastRenderedPageBreak/>
        <w:t>Although engagement itself is not always available to external stakeholders, adjacent finance research using employee satisfaction or employee-review signals provides supporting evidence that workforce-related attitudes can contain value-relevant information for investors.</w:t>
      </w:r>
    </w:p>
    <w:p w14:paraId="61494E79" w14:textId="32FEACD4" w:rsidR="009D6445" w:rsidRDefault="009D6445" w:rsidP="009D6445">
      <w:pPr>
        <w:rPr>
          <w:lang w:val="en-US"/>
        </w:rPr>
      </w:pPr>
      <w:r w:rsidRPr="009D6445">
        <w:rPr>
          <w:lang w:val="en-US"/>
        </w:rPr>
        <w:t>One influential finance study finds that companies rated highly for employee satisfaction (based on a well-known employer list) earned abnormal stock returns over long horizons, consistent with the idea that intangible human-capital assets may be undervalued in the short run and priced in gradually [20</w:t>
      </w:r>
      <w:r>
        <w:rPr>
          <w:lang w:val="en-US"/>
        </w:rPr>
        <w:t>].</w:t>
      </w:r>
    </w:p>
    <w:p w14:paraId="78BA63EA" w14:textId="3366133F" w:rsidR="009D6445" w:rsidRDefault="009D6445" w:rsidP="009D6445">
      <w:pPr>
        <w:rPr>
          <w:lang w:val="en-US"/>
        </w:rPr>
      </w:pPr>
      <w:r w:rsidRPr="009D6445">
        <w:rPr>
          <w:lang w:val="en-US"/>
        </w:rPr>
        <w:t>More recent work shows that changes in crowdsourced employer ratings can predict near-term stock returns and are associated with future sales and profitability growth, suggesting employee-authored signals can reveal fundamentals not instantly incorporated into prices [21].</w:t>
      </w:r>
    </w:p>
    <w:p w14:paraId="653B0DA7" w14:textId="2488D7BA" w:rsidR="009D6445" w:rsidRDefault="009D6445" w:rsidP="009D6445">
      <w:r w:rsidRPr="009D6445">
        <w:rPr>
          <w:lang w:val="en-US"/>
        </w:rPr>
        <w:t>These finance findings do not prove that engagement causes stock performance. However, they strengthen the plausibility that workforce attitudes (and potentially engagement) can map onto financial performance drivers and can be studied as economically meaningful informational signals—especially when combined with rigorous causal designs [20</w:t>
      </w:r>
      <w:r w:rsidRPr="009D6445">
        <w:rPr>
          <w:lang w:val="en-US"/>
        </w:rPr>
        <w:t xml:space="preserve">, </w:t>
      </w:r>
      <w:r w:rsidRPr="009D6445">
        <w:rPr>
          <w:lang w:val="en-US"/>
        </w:rPr>
        <w:t>21].</w:t>
      </w:r>
    </w:p>
    <w:p w14:paraId="522ED76C" w14:textId="77777777" w:rsidR="0013624B" w:rsidRPr="0013624B" w:rsidRDefault="0013624B" w:rsidP="0013624B">
      <w:pPr>
        <w:rPr>
          <w:lang w:val="en-US"/>
        </w:rPr>
      </w:pPr>
      <w:r w:rsidRPr="0013624B">
        <w:rPr>
          <w:lang w:val="en-US"/>
        </w:rPr>
        <w:t>A system for assessing an engagement index typically integrates three data classes:</w:t>
      </w:r>
    </w:p>
    <w:p w14:paraId="34BF9171" w14:textId="6A0B34EE" w:rsidR="0013624B" w:rsidRPr="009D6445" w:rsidRDefault="0013624B" w:rsidP="0013624B">
      <w:pPr>
        <w:rPr>
          <w:lang w:val="en-US"/>
        </w:rPr>
      </w:pPr>
      <w:r w:rsidRPr="0013624B">
        <w:rPr>
          <w:lang w:val="en-US"/>
        </w:rPr>
        <w:t>First, survey-based engagement measures remain the gold standard for construct validity, particularly when grounded in academic definitions and psychometrically evaluated [10; 12].</w:t>
      </w:r>
    </w:p>
    <w:p w14:paraId="64F9B8E4" w14:textId="6CD90F3D" w:rsidR="009D6445" w:rsidRDefault="0013624B" w:rsidP="00E015BB">
      <w:r w:rsidRPr="0013624B">
        <w:rPr>
          <w:lang w:val="en-US"/>
        </w:rPr>
        <w:t>Second, HRIS and operational data provide behaviorally anchored signals that help reduce common method bias and enable financial translation. Examples include absenteeism records, internal mobility, performance ratings, safety incidents, quality metrics, and turnover events (including time-to-fill and hiring costs where available) [6</w:t>
      </w:r>
      <w:r w:rsidRPr="0013624B">
        <w:rPr>
          <w:lang w:val="en-US"/>
        </w:rPr>
        <w:t>,</w:t>
      </w:r>
      <w:r w:rsidRPr="0013624B">
        <w:rPr>
          <w:lang w:val="en-US"/>
        </w:rPr>
        <w:t xml:space="preserve"> 17</w:t>
      </w:r>
      <w:r w:rsidRPr="0013624B">
        <w:rPr>
          <w:lang w:val="en-US"/>
        </w:rPr>
        <w:t xml:space="preserve">, </w:t>
      </w:r>
      <w:r w:rsidRPr="0013624B">
        <w:rPr>
          <w:lang w:val="en-US"/>
        </w:rPr>
        <w:t>19].</w:t>
      </w:r>
    </w:p>
    <w:p w14:paraId="1FEFBFB6" w14:textId="6BECFB94" w:rsidR="0013624B" w:rsidRPr="00E015BB" w:rsidRDefault="0013624B" w:rsidP="00E015BB">
      <w:pPr>
        <w:rPr>
          <w:lang w:val="en-US"/>
        </w:rPr>
      </w:pPr>
      <w:r w:rsidRPr="0013624B">
        <w:rPr>
          <w:lang w:val="en-US"/>
        </w:rPr>
        <w:lastRenderedPageBreak/>
        <w:t xml:space="preserve">Third, </w:t>
      </w:r>
      <w:r w:rsidRPr="0013624B">
        <w:rPr>
          <w:b/>
          <w:bCs/>
          <w:lang w:val="en-US"/>
        </w:rPr>
        <w:t>textual feedback</w:t>
      </w:r>
      <w:r w:rsidRPr="0013624B">
        <w:rPr>
          <w:lang w:val="en-US"/>
        </w:rPr>
        <w:t xml:space="preserve"> (open comments, exit-interview notes, engagement-pulse comments) offers high-dimensional qualitative signals. NLP research demonstrates the feasibility of converting text to quantitative work-attitude scores and extracting concerns via topic modeling, but also stresses that modeling decisions shape results and must be evaluated carefully for reliability and validity [15</w:t>
      </w:r>
      <w:r w:rsidRPr="0013624B">
        <w:rPr>
          <w:lang w:val="en-US"/>
        </w:rPr>
        <w:t>,</w:t>
      </w:r>
      <w:r w:rsidRPr="0013624B">
        <w:rPr>
          <w:lang w:val="en-US"/>
        </w:rPr>
        <w:t xml:space="preserve"> 16].</w:t>
      </w:r>
    </w:p>
    <w:p w14:paraId="30E8E1AF" w14:textId="6AFD4158" w:rsidR="00E015BB" w:rsidRDefault="0013624B" w:rsidP="00E015BB">
      <w:r w:rsidRPr="0013624B">
        <w:rPr>
          <w:lang w:val="en-US"/>
        </w:rPr>
        <w:t>A comprehensive system architecture would treat these as complementary: surveys provide calibrated labels, HRIS provides outcome anchors, and text adds diagnostic specificity.</w:t>
      </w:r>
    </w:p>
    <w:p w14:paraId="12E4DFBF" w14:textId="77777777" w:rsidR="0013624B" w:rsidRPr="0013624B" w:rsidRDefault="0013624B" w:rsidP="0013624B">
      <w:pPr>
        <w:rPr>
          <w:lang w:val="en-US"/>
        </w:rPr>
      </w:pPr>
      <w:r w:rsidRPr="0013624B">
        <w:rPr>
          <w:lang w:val="en-US"/>
        </w:rPr>
        <w:t>Financial impact analysis typically depends on the level of analysis:</w:t>
      </w:r>
    </w:p>
    <w:p w14:paraId="71685782" w14:textId="2B43AE16" w:rsidR="0013624B" w:rsidRPr="0013624B" w:rsidRDefault="0013624B" w:rsidP="0013624B">
      <w:pPr>
        <w:numPr>
          <w:ilvl w:val="0"/>
          <w:numId w:val="3"/>
        </w:numPr>
      </w:pPr>
      <w:r w:rsidRPr="0013624B">
        <w:rPr>
          <w:b/>
          <w:bCs/>
          <w:lang w:val="en-US"/>
        </w:rPr>
        <w:t>Business-unit or team level</w:t>
      </w:r>
      <w:r w:rsidRPr="0013624B">
        <w:rPr>
          <w:lang w:val="en-US"/>
        </w:rPr>
        <w:t xml:space="preserve"> (preferred when engagement is measured at team level): match engagement to unit profit, productivity, sales, customer metrics, and safety/quality outcomes when those exist [17].</w:t>
      </w:r>
    </w:p>
    <w:p w14:paraId="5C695A7E" w14:textId="4AF20E1D" w:rsidR="0013624B" w:rsidRPr="0013624B" w:rsidRDefault="0013624B" w:rsidP="0013624B">
      <w:pPr>
        <w:pStyle w:val="a7"/>
        <w:numPr>
          <w:ilvl w:val="0"/>
          <w:numId w:val="3"/>
        </w:numPr>
        <w:rPr>
          <w:lang w:val="en-US"/>
        </w:rPr>
      </w:pPr>
      <w:r w:rsidRPr="0013624B">
        <w:rPr>
          <w:b/>
          <w:bCs/>
          <w:lang w:val="en-US"/>
        </w:rPr>
        <w:t>Firm level</w:t>
      </w:r>
      <w:r w:rsidRPr="0013624B">
        <w:rPr>
          <w:lang w:val="en-US"/>
        </w:rPr>
        <w:t>: match aggregated engagement indices to financial statements and market measures, but control for industry, size, cycle effects, and managerial changes. External proxies (employee reviews) have been used in finance as an alternative data source with demonstrated predictive associations [20; 21].</w:t>
      </w:r>
    </w:p>
    <w:p w14:paraId="15F3F9A2" w14:textId="04FDC98B" w:rsidR="0013624B" w:rsidRDefault="0013624B" w:rsidP="0013624B">
      <w:r w:rsidRPr="0013624B">
        <w:rPr>
          <w:lang w:val="en-US"/>
        </w:rPr>
        <w:t>Key operationalization issues identified across literatures include: time alignment (lag structures), missingness and nonresponse (especially in surveys), and the need to avoid mixing predictors into the engagement index itself (construct contamination) [2</w:t>
      </w:r>
      <w:r w:rsidRPr="0013624B">
        <w:rPr>
          <w:lang w:val="en-US"/>
        </w:rPr>
        <w:t>,</w:t>
      </w:r>
      <w:r w:rsidRPr="0013624B">
        <w:rPr>
          <w:lang w:val="en-US"/>
        </w:rPr>
        <w:t xml:space="preserve"> 6</w:t>
      </w:r>
      <w:r w:rsidRPr="0013624B">
        <w:rPr>
          <w:lang w:val="en-US"/>
        </w:rPr>
        <w:t>,</w:t>
      </w:r>
      <w:r w:rsidRPr="0013624B">
        <w:rPr>
          <w:lang w:val="en-US"/>
        </w:rPr>
        <w:t xml:space="preserve"> 14].</w:t>
      </w:r>
    </w:p>
    <w:p w14:paraId="313CF0AE" w14:textId="352E5051" w:rsidR="0013624B" w:rsidRDefault="0013624B" w:rsidP="0013624B">
      <w:r w:rsidRPr="0013624B">
        <w:rPr>
          <w:lang w:val="en-US"/>
        </w:rPr>
        <w:t>Research on AI in HR and ethics emphasizes that predictive systems can fail socially even when they work technically. Concerns include perceived surveillance, unfairness, opacity, and resistance, which can damage trust and undermine the very engagement the system tries to measure [4</w:t>
      </w:r>
      <w:r w:rsidRPr="0013624B">
        <w:rPr>
          <w:lang w:val="en-US"/>
        </w:rPr>
        <w:t>,</w:t>
      </w:r>
      <w:r w:rsidRPr="0013624B">
        <w:rPr>
          <w:lang w:val="en-US"/>
        </w:rPr>
        <w:t xml:space="preserve"> 5].</w:t>
      </w:r>
    </w:p>
    <w:p w14:paraId="4B5C58EB" w14:textId="4B46CF13" w:rsidR="0013624B" w:rsidRDefault="0013624B" w:rsidP="0013624B">
      <w:r w:rsidRPr="0013624B">
        <w:rPr>
          <w:lang w:val="en-US"/>
        </w:rPr>
        <w:t>Moreover, legal and fairness scholarship highlights that algorithmic systems can reproduce discrimination through proxy variables and biased data-generation processes, creating disparate impacts even without discriminatory intent [22].</w:t>
      </w:r>
    </w:p>
    <w:p w14:paraId="12364AFE" w14:textId="53A285AC" w:rsidR="0013624B" w:rsidRDefault="0013624B" w:rsidP="0013624B">
      <w:r w:rsidRPr="0013624B">
        <w:rPr>
          <w:lang w:val="en-US"/>
        </w:rPr>
        <w:lastRenderedPageBreak/>
        <w:t>Empirical work examining algorithmic hiring vendors shows that claims of bias mitigation are often under-specified, and that transparency, validation, and bias auditing are uneven in practice, reinforcing the need for rigorous governance when deploying ML for workforce decision support [23].</w:t>
      </w:r>
    </w:p>
    <w:p w14:paraId="3B2F76C5" w14:textId="4A82AB52" w:rsidR="0013624B" w:rsidRDefault="0013624B" w:rsidP="0013624B">
      <w:r w:rsidRPr="0013624B">
        <w:rPr>
          <w:lang w:val="en-US"/>
        </w:rPr>
        <w:t>For your engagement-impact system, these findings imply that governance is not an appendix: it shapes what data can ethically be used (especially behavioral traces), what transparency is needed, and how to design “human-in-the-loop” processes that keep the tool aligned with organizational legitimacy [4</w:t>
      </w:r>
      <w:r w:rsidRPr="0013624B">
        <w:rPr>
          <w:lang w:val="en-US"/>
        </w:rPr>
        <w:t xml:space="preserve">, </w:t>
      </w:r>
      <w:r w:rsidRPr="0013624B">
        <w:rPr>
          <w:lang w:val="en-US"/>
        </w:rPr>
        <w:t>22</w:t>
      </w:r>
      <w:r w:rsidRPr="0013624B">
        <w:rPr>
          <w:lang w:val="en-US"/>
        </w:rPr>
        <w:t xml:space="preserve">, </w:t>
      </w:r>
      <w:r w:rsidRPr="0013624B">
        <w:rPr>
          <w:lang w:val="en-US"/>
        </w:rPr>
        <w:t>23].</w:t>
      </w:r>
    </w:p>
    <w:p w14:paraId="3314C716" w14:textId="77777777" w:rsidR="0013624B" w:rsidRPr="0013624B" w:rsidRDefault="0013624B" w:rsidP="0013624B">
      <w:pPr>
        <w:rPr>
          <w:lang w:val="en-US"/>
        </w:rPr>
      </w:pPr>
      <w:r w:rsidRPr="0013624B">
        <w:rPr>
          <w:lang w:val="en-US"/>
        </w:rPr>
        <w:t>If the goal is to assess an engagement index, ML can be used in at least three ways.</w:t>
      </w:r>
    </w:p>
    <w:p w14:paraId="3CF98488" w14:textId="3F265CFA" w:rsidR="0013624B" w:rsidRDefault="0013624B" w:rsidP="0013624B">
      <w:r w:rsidRPr="0013624B">
        <w:rPr>
          <w:lang w:val="en-US"/>
        </w:rPr>
        <w:t>First, supervised prediction of engagement scores using HRIS and organizational data can identify patterns associated with higher or lower engagement, supporting targeted interventions. However, the HR-AI literature cautions that HR targets are often noisy and context-specific, which can make model transfer across units or time unstable [4].</w:t>
      </w:r>
    </w:p>
    <w:p w14:paraId="7D57C815" w14:textId="7C81D199" w:rsidR="0013624B" w:rsidRDefault="0013624B" w:rsidP="0013624B">
      <w:r w:rsidRPr="0013624B">
        <w:rPr>
          <w:lang w:val="en-US"/>
        </w:rPr>
        <w:t>Second, NLP-based scoring of open-ended text can supplement survey measurement. Research in applied psychology demonstrates that NLP algorithms can be developed to automatically score employee comments according to work attitudes and perceptions, effectively “turning words into numbers,” though this requires careful validation against established measures and reliability checks [15].</w:t>
      </w:r>
    </w:p>
    <w:p w14:paraId="55217CDF" w14:textId="55A09F6B" w:rsidR="0013624B" w:rsidRDefault="0013624B" w:rsidP="0013624B">
      <w:r w:rsidRPr="0013624B">
        <w:rPr>
          <w:lang w:val="en-US"/>
        </w:rPr>
        <w:t>Third, topic modeling and aspect-based sentiment analysis can provide structured summaries and drivers. Work on open-text employee survey responses shows that supervised and unsupervised methods can identify themes representing employee concerns, and that topic models can produce coherent themes with low manual coding when designed carefully [16]. Additionally, aspect-based sentiment modeling has been proposed for HR survey text to capture sentiment toward specific workplace aspects rather than overall polarity [24].</w:t>
      </w:r>
    </w:p>
    <w:p w14:paraId="638452AD" w14:textId="127D7876" w:rsidR="0013624B" w:rsidRDefault="0013624B" w:rsidP="0013624B">
      <w:r w:rsidRPr="0013624B">
        <w:rPr>
          <w:lang w:val="en-US"/>
        </w:rPr>
        <w:lastRenderedPageBreak/>
        <w:t>These approaches naturally connect to a system design that includes core engagement score estimation, segmentation and hotspot detection, and driver diagnostics.</w:t>
      </w:r>
    </w:p>
    <w:p w14:paraId="29402BCF" w14:textId="342D722D" w:rsidR="0013624B" w:rsidRDefault="0013624B" w:rsidP="0013624B">
      <w:r w:rsidRPr="0013624B">
        <w:rPr>
          <w:lang w:val="en-US"/>
        </w:rPr>
        <w:t>Interpretability is essential in HR analytics because recommended managerial actions must be justifiable, and because opaque models can erode trust. The ML literature provides widely used explanation frameworks: SHAP formalizes additive feature attributions grounded in cooperative game theory and offers consistency properties for feature importance [25]. Local explanation methods such as LIME provide model-agnostic, local approximations to support human understanding and trust judgments [26].</w:t>
      </w:r>
    </w:p>
    <w:p w14:paraId="68FD26C0" w14:textId="65825207" w:rsidR="0013624B" w:rsidRPr="0013624B" w:rsidRDefault="0013624B" w:rsidP="0013624B">
      <w:pPr>
        <w:rPr>
          <w:lang w:val="en-US"/>
        </w:rPr>
      </w:pPr>
      <w:r w:rsidRPr="0013624B">
        <w:rPr>
          <w:lang w:val="en-US"/>
        </w:rPr>
        <w:t>Within an engagement-impact system, explainability is needed at two levels: (a) explaining engagement predictions at employee/team level (diagnostics), and (b) explaining estimated financial impact pathways (which is more akin to causal inference than prediction) [25</w:t>
      </w:r>
      <w:r w:rsidRPr="0013624B">
        <w:rPr>
          <w:lang w:val="en-US"/>
        </w:rPr>
        <w:t>,</w:t>
      </w:r>
      <w:r w:rsidRPr="0013624B">
        <w:rPr>
          <w:lang w:val="en-US"/>
        </w:rPr>
        <w:t xml:space="preserve"> 26].</w:t>
      </w:r>
    </w:p>
    <w:p w14:paraId="0EF2E0F8" w14:textId="6A8F3052" w:rsidR="0013624B" w:rsidRDefault="0013624B" w:rsidP="0013624B">
      <w:r w:rsidRPr="0013624B">
        <w:rPr>
          <w:lang w:val="en-US"/>
        </w:rPr>
        <w:t>A core scientific challenge is that financial impact questions are causal: “Does engagement (or engagement improvement) cause better financial performance?” Observational organizational data often violates naive regression assumptions due to confounding, reverse causality, and selection effects—a concern explicitly raised in classic measurement-bias reviews and also acknowledged in engagement research that calls for longitudinal and experimental designs [6</w:t>
      </w:r>
      <w:r w:rsidRPr="0013624B">
        <w:rPr>
          <w:lang w:val="en-US"/>
        </w:rPr>
        <w:t>,</w:t>
      </w:r>
      <w:r w:rsidRPr="0013624B">
        <w:rPr>
          <w:lang w:val="en-US"/>
        </w:rPr>
        <w:t xml:space="preserve"> 7].</w:t>
      </w:r>
    </w:p>
    <w:p w14:paraId="1C5E3545" w14:textId="62376880" w:rsidR="0013624B" w:rsidRPr="0013624B" w:rsidRDefault="0013624B" w:rsidP="0013624B">
      <w:pPr>
        <w:rPr>
          <w:lang w:val="en-US"/>
        </w:rPr>
      </w:pPr>
      <w:r w:rsidRPr="0013624B">
        <w:rPr>
          <w:lang w:val="en-US"/>
        </w:rPr>
        <w:t>Modern econometrics provides ML-compatible frameworks for causal estimation in the presence of high-dimensional controls. Double/debiased machine learning uses cross-fitting and orthogonal scores to reduce regularization bias when estimating low-dimensional causal parameters with ML nuisance models [27].</w:t>
      </w:r>
    </w:p>
    <w:p w14:paraId="1559F9AF" w14:textId="77777777" w:rsidR="0013624B" w:rsidRPr="0013624B" w:rsidRDefault="0013624B" w:rsidP="0013624B">
      <w:pPr>
        <w:rPr>
          <w:lang w:val="en-US"/>
        </w:rPr>
      </w:pPr>
      <w:r w:rsidRPr="0013624B">
        <w:rPr>
          <w:lang w:val="en-US"/>
        </w:rPr>
        <w:t>A practical implication is that an engagement-impact system can be designed with a two-layer analytics stack:</w:t>
      </w:r>
    </w:p>
    <w:p w14:paraId="37CC6114" w14:textId="77777777" w:rsidR="0013624B" w:rsidRPr="0013624B" w:rsidRDefault="0013624B" w:rsidP="0013624B">
      <w:pPr>
        <w:rPr>
          <w:lang w:val="en-US"/>
        </w:rPr>
      </w:pPr>
      <w:r w:rsidRPr="0013624B">
        <w:rPr>
          <w:lang w:val="en-US"/>
        </w:rPr>
        <w:t>•</w:t>
      </w:r>
      <w:r w:rsidRPr="0013624B">
        <w:rPr>
          <w:lang w:val="en-US"/>
        </w:rPr>
        <w:tab/>
        <w:t>Predictive layer: monitors engagement and predicts risks (turnover, absenteeism).</w:t>
      </w:r>
    </w:p>
    <w:p w14:paraId="33DDE8C8" w14:textId="36B50B94" w:rsidR="0013624B" w:rsidRDefault="0013624B" w:rsidP="0013624B">
      <w:r w:rsidRPr="0013624B">
        <w:rPr>
          <w:lang w:val="en-US"/>
        </w:rPr>
        <w:lastRenderedPageBreak/>
        <w:t>•</w:t>
      </w:r>
      <w:r w:rsidRPr="0013624B">
        <w:rPr>
          <w:lang w:val="en-US"/>
        </w:rPr>
        <w:tab/>
        <w:t>Causal layer: estimates the effect of engagement changes or interventions on business outcomes using quasi-experimental designs (difference-in-differences, synthetic controls, instrumental variables) enhanced by ML-based confounder adjustment and heterogeneity analysis [27].</w:t>
      </w:r>
    </w:p>
    <w:p w14:paraId="6258E9F7" w14:textId="5B53E148" w:rsidR="0013624B" w:rsidRDefault="0013624B" w:rsidP="0013624B">
      <w:r w:rsidRPr="0013624B">
        <w:rPr>
          <w:lang w:val="en-US"/>
        </w:rPr>
        <w:t>A rigorous causal layer also requires conceptual clarity about the “treatment” (e.g., engagement increase vs. specific managerial interventions that move engagement) and carefully defined time windows, aligning with evidence that managerial practices and perceived support/fairness are plausible levers connected to engagement via social exchange mechanisms [7</w:t>
      </w:r>
      <w:r w:rsidRPr="0013624B">
        <w:rPr>
          <w:lang w:val="en-US"/>
        </w:rPr>
        <w:t>,</w:t>
      </w:r>
      <w:r w:rsidRPr="0013624B">
        <w:rPr>
          <w:lang w:val="en-US"/>
        </w:rPr>
        <w:t xml:space="preserve"> 8].</w:t>
      </w:r>
    </w:p>
    <w:p w14:paraId="318DC9CD" w14:textId="77777777" w:rsidR="0013624B" w:rsidRPr="0013624B" w:rsidRDefault="0013624B" w:rsidP="0013624B">
      <w:pPr>
        <w:rPr>
          <w:lang w:val="en-US"/>
        </w:rPr>
      </w:pPr>
      <w:r w:rsidRPr="0013624B">
        <w:rPr>
          <w:lang w:val="en-US"/>
        </w:rPr>
        <w:t>Several recurring limitations in the existing literature directly motivate your scientific work theme and define what “significant context” should be highlighted.</w:t>
      </w:r>
    </w:p>
    <w:p w14:paraId="76BD1F41" w14:textId="0A00AF71" w:rsidR="0013624B" w:rsidRDefault="0013624B" w:rsidP="0013624B">
      <w:r w:rsidRPr="0013624B">
        <w:rPr>
          <w:lang w:val="en-US"/>
        </w:rPr>
        <w:t>First, construct and measurement ambiguity remains a foundational problem. Reviews argue that engagement is used inconsistently, sometimes blending psychological states with work conditions and outcomes, which threatens discriminant validity and can inflate apparent predictive power [2</w:t>
      </w:r>
      <w:r w:rsidRPr="0013624B">
        <w:rPr>
          <w:lang w:val="en-US"/>
        </w:rPr>
        <w:t>,</w:t>
      </w:r>
      <w:r w:rsidRPr="0013624B">
        <w:rPr>
          <w:lang w:val="en-US"/>
        </w:rPr>
        <w:t xml:space="preserve"> 3].</w:t>
      </w:r>
    </w:p>
    <w:p w14:paraId="4700D579" w14:textId="718CF315" w:rsidR="0013624B" w:rsidRDefault="0013624B" w:rsidP="0013624B">
      <w:r w:rsidRPr="0013624B">
        <w:rPr>
          <w:lang w:val="en-US"/>
        </w:rPr>
        <w:t>Second, common method bias and endogeneity complicate claims about “impact,” especially when engagement, antecedents, and outcomes are derived from the same survey. Classic methodology work provides extensive evidence that method bias can influence correlations and recommends procedural and statistical remedies that should be explicitly incorporated into research design (e.g., multi-source measurement, temporal separation, marker variables) [6].</w:t>
      </w:r>
    </w:p>
    <w:p w14:paraId="3FE20EC7" w14:textId="0DADF0D0" w:rsidR="003239FB" w:rsidRDefault="003239FB" w:rsidP="0013624B">
      <w:r w:rsidRPr="003239FB">
        <w:rPr>
          <w:lang w:val="en-US"/>
        </w:rPr>
        <w:t>Third, external validity and transfer across contexts are limited. AI-in-HR reviews underline that HR phenomena are complex, datasets are often small and context-bound, and predictive models can degrade when moving across business units, time periods, or countries—even when internal performance looks good [4].</w:t>
      </w:r>
    </w:p>
    <w:p w14:paraId="3466C97B" w14:textId="11335450" w:rsidR="003239FB" w:rsidRDefault="003239FB" w:rsidP="0013624B">
      <w:r w:rsidRPr="003239FB">
        <w:rPr>
          <w:lang w:val="en-US"/>
        </w:rPr>
        <w:t xml:space="preserve">Fourth, </w:t>
      </w:r>
      <w:r w:rsidRPr="003239FB">
        <w:rPr>
          <w:b/>
          <w:bCs/>
          <w:lang w:val="en-US"/>
        </w:rPr>
        <w:t>financial impact operationalization is often indirect</w:t>
      </w:r>
      <w:r w:rsidRPr="003239FB">
        <w:rPr>
          <w:lang w:val="en-US"/>
        </w:rPr>
        <w:t xml:space="preserve">. Even when engagement is linked to profit or productivity at unit level via meta-analysis, translating effect sizes into financial ROI requires detailed cost and revenue models </w:t>
      </w:r>
      <w:r w:rsidRPr="003239FB">
        <w:rPr>
          <w:lang w:val="en-US"/>
        </w:rPr>
        <w:lastRenderedPageBreak/>
        <w:t>(e.g., turnover cost accounting) and careful linkage of engagement measures to operational and accounting structures [17</w:t>
      </w:r>
      <w:r w:rsidRPr="003239FB">
        <w:rPr>
          <w:lang w:val="en-US"/>
        </w:rPr>
        <w:t>,</w:t>
      </w:r>
      <w:r w:rsidRPr="003239FB">
        <w:rPr>
          <w:lang w:val="en-US"/>
        </w:rPr>
        <w:t xml:space="preserve"> 19].</w:t>
      </w:r>
    </w:p>
    <w:p w14:paraId="2FA442A4" w14:textId="586C3D16" w:rsidR="003239FB" w:rsidRDefault="003239FB" w:rsidP="0013624B">
      <w:r w:rsidRPr="003239FB">
        <w:rPr>
          <w:lang w:val="en-US"/>
        </w:rPr>
        <w:t>Fifth, ethical and legitimacy constraints are not optional. Fairness and ethics scholarship shows how algorithmic systems can create disparate impacts through proxies and biased historical data, while applied work on algorithmic hiring highlights limited transparency and uneven bias auditing in real systems [22; 23]. These issues can become acute in engagement systems that use passive behavioral data or communications content, potentially creating a “measurement-induced disengagement” risk if employees perceive surveillance [4</w:t>
      </w:r>
      <w:r w:rsidRPr="003239FB">
        <w:rPr>
          <w:lang w:val="en-US"/>
        </w:rPr>
        <w:t xml:space="preserve">, </w:t>
      </w:r>
      <w:r w:rsidRPr="003239FB">
        <w:rPr>
          <w:lang w:val="en-US"/>
        </w:rPr>
        <w:t>22</w:t>
      </w:r>
      <w:r w:rsidRPr="003239FB">
        <w:rPr>
          <w:lang w:val="en-US"/>
        </w:rPr>
        <w:t xml:space="preserve">, </w:t>
      </w:r>
      <w:r w:rsidRPr="003239FB">
        <w:rPr>
          <w:lang w:val="en-US"/>
        </w:rPr>
        <w:t>23].</w:t>
      </w:r>
    </w:p>
    <w:p w14:paraId="7B7CEE85" w14:textId="77777777" w:rsidR="003239FB" w:rsidRPr="003239FB" w:rsidRDefault="003239FB" w:rsidP="003239FB">
      <w:pPr>
        <w:rPr>
          <w:lang w:val="en-US"/>
        </w:rPr>
      </w:pPr>
      <w:r w:rsidRPr="003239FB">
        <w:rPr>
          <w:lang w:val="en-US"/>
        </w:rPr>
        <w:t>Taken together, the most defensible research gap that a thesis like yours can target is not “another correlation study,” but the development of an end-to-end, methodologically disciplined system that:</w:t>
      </w:r>
    </w:p>
    <w:p w14:paraId="02D75922" w14:textId="3335F975" w:rsidR="003239FB" w:rsidRPr="003239FB" w:rsidRDefault="003239FB" w:rsidP="003239FB">
      <w:pPr>
        <w:rPr>
          <w:lang w:val="en-US"/>
        </w:rPr>
      </w:pPr>
      <w:r w:rsidRPr="003239FB">
        <w:rPr>
          <w:lang w:val="en-US"/>
        </w:rPr>
        <w:t>1) defines an engagement index with explicit construct boundaries using validated measurement principles [1</w:t>
      </w:r>
      <w:r w:rsidRPr="003239FB">
        <w:rPr>
          <w:lang w:val="en-US"/>
        </w:rPr>
        <w:t>,</w:t>
      </w:r>
      <w:r w:rsidRPr="003239FB">
        <w:rPr>
          <w:lang w:val="en-US"/>
        </w:rPr>
        <w:t xml:space="preserve"> 2</w:t>
      </w:r>
      <w:r w:rsidRPr="003239FB">
        <w:rPr>
          <w:lang w:val="en-US"/>
        </w:rPr>
        <w:t>,</w:t>
      </w:r>
      <w:r w:rsidRPr="003239FB">
        <w:rPr>
          <w:lang w:val="en-US"/>
        </w:rPr>
        <w:t xml:space="preserve"> 12];</w:t>
      </w:r>
    </w:p>
    <w:p w14:paraId="1A8327B9" w14:textId="2E9A8C00" w:rsidR="003239FB" w:rsidRPr="003239FB" w:rsidRDefault="003239FB" w:rsidP="003239FB">
      <w:pPr>
        <w:rPr>
          <w:lang w:val="en-US"/>
        </w:rPr>
      </w:pPr>
      <w:r w:rsidRPr="003239FB">
        <w:rPr>
          <w:lang w:val="en-US"/>
        </w:rPr>
        <w:t>2) integrates survey, HRIS, and textual data to reduce common method bias and improve diagnostic value [6</w:t>
      </w:r>
      <w:r w:rsidRPr="003239FB">
        <w:rPr>
          <w:lang w:val="en-US"/>
        </w:rPr>
        <w:t>,</w:t>
      </w:r>
      <w:r w:rsidRPr="003239FB">
        <w:rPr>
          <w:lang w:val="en-US"/>
        </w:rPr>
        <w:t xml:space="preserve"> 15</w:t>
      </w:r>
      <w:r w:rsidRPr="003239FB">
        <w:rPr>
          <w:lang w:val="en-US"/>
        </w:rPr>
        <w:t>,</w:t>
      </w:r>
      <w:r w:rsidRPr="003239FB">
        <w:rPr>
          <w:lang w:val="en-US"/>
        </w:rPr>
        <w:t xml:space="preserve"> 16];</w:t>
      </w:r>
    </w:p>
    <w:p w14:paraId="3497AACB" w14:textId="09EA86FB" w:rsidR="003239FB" w:rsidRPr="003239FB" w:rsidRDefault="003239FB" w:rsidP="003239FB">
      <w:r w:rsidRPr="003239FB">
        <w:rPr>
          <w:lang w:val="en-US"/>
        </w:rPr>
        <w:t>3) estimates financial impact through a causal-inference layer compatible with high-dimensional organizational data [27];</w:t>
      </w:r>
    </w:p>
    <w:p w14:paraId="2FBAE579" w14:textId="0EAE43CA" w:rsidR="003239FB" w:rsidRPr="003239FB" w:rsidRDefault="003239FB" w:rsidP="003239FB">
      <w:pPr>
        <w:rPr>
          <w:lang w:val="en-US"/>
        </w:rPr>
      </w:pPr>
      <w:r w:rsidRPr="003239FB">
        <w:rPr>
          <w:lang w:val="en-US"/>
        </w:rPr>
        <w:t>4) embeds explainability and fairness auditing to ensure accountability and employee trust [25</w:t>
      </w:r>
      <w:r w:rsidRPr="003239FB">
        <w:rPr>
          <w:lang w:val="en-US"/>
        </w:rPr>
        <w:t>,</w:t>
      </w:r>
      <w:r w:rsidRPr="003239FB">
        <w:rPr>
          <w:lang w:val="en-US"/>
        </w:rPr>
        <w:t xml:space="preserve"> 26</w:t>
      </w:r>
      <w:r w:rsidRPr="003239FB">
        <w:rPr>
          <w:lang w:val="en-US"/>
        </w:rPr>
        <w:t>,</w:t>
      </w:r>
      <w:r w:rsidRPr="003239FB">
        <w:rPr>
          <w:lang w:val="en-US"/>
        </w:rPr>
        <w:t xml:space="preserve"> 22</w:t>
      </w:r>
      <w:r w:rsidRPr="003239FB">
        <w:rPr>
          <w:lang w:val="en-US"/>
        </w:rPr>
        <w:t>,</w:t>
      </w:r>
      <w:r w:rsidRPr="003239FB">
        <w:rPr>
          <w:lang w:val="en-US"/>
        </w:rPr>
        <w:t xml:space="preserve"> 23].</w:t>
      </w:r>
    </w:p>
    <w:p w14:paraId="28495E69" w14:textId="4E6B5DCB" w:rsidR="003239FB" w:rsidRDefault="00E015BB">
      <w:pPr>
        <w:spacing w:after="160" w:line="278" w:lineRule="auto"/>
        <w:ind w:firstLine="0"/>
        <w:jc w:val="left"/>
        <w:rPr>
          <w:lang w:val="en-US"/>
        </w:rPr>
      </w:pPr>
      <w:r w:rsidRPr="00E015BB">
        <w:rPr>
          <w:lang w:val="en-US"/>
        </w:rPr>
        <w:br w:type="page"/>
      </w:r>
      <w:r w:rsidR="003239FB">
        <w:rPr>
          <w:lang w:val="en-US"/>
        </w:rPr>
        <w:lastRenderedPageBreak/>
        <w:br w:type="page"/>
      </w:r>
    </w:p>
    <w:p w14:paraId="07FA248B" w14:textId="500FA994" w:rsidR="00E015BB" w:rsidRDefault="003239FB" w:rsidP="003239FB">
      <w:pPr>
        <w:pStyle w:val="1"/>
        <w:rPr>
          <w:lang w:val="en-US"/>
        </w:rPr>
      </w:pPr>
      <w:bookmarkStart w:id="2" w:name="_Toc228624557"/>
      <w:r>
        <w:rPr>
          <w:lang w:val="en-US"/>
        </w:rPr>
        <w:lastRenderedPageBreak/>
        <w:t>Practical part</w:t>
      </w:r>
      <w:bookmarkEnd w:id="2"/>
    </w:p>
    <w:p w14:paraId="2153EF31" w14:textId="77777777" w:rsidR="003239FB" w:rsidRDefault="003239FB" w:rsidP="003239FB">
      <w:pPr>
        <w:rPr>
          <w:lang w:val="en-US"/>
        </w:rPr>
      </w:pPr>
    </w:p>
    <w:p w14:paraId="5F9A2D1C" w14:textId="38C1677C" w:rsidR="003239FB" w:rsidRDefault="003239FB">
      <w:pPr>
        <w:spacing w:after="160" w:line="278" w:lineRule="auto"/>
        <w:ind w:firstLine="0"/>
        <w:jc w:val="left"/>
        <w:rPr>
          <w:lang w:val="en-US"/>
        </w:rPr>
      </w:pPr>
      <w:r>
        <w:rPr>
          <w:lang w:val="en-US"/>
        </w:rPr>
        <w:br w:type="page"/>
      </w:r>
    </w:p>
    <w:p w14:paraId="6669CD4E" w14:textId="77777777" w:rsidR="00E015BB" w:rsidRPr="00E015BB" w:rsidRDefault="00E015BB" w:rsidP="00E015BB">
      <w:pPr>
        <w:pStyle w:val="1"/>
        <w:rPr>
          <w:lang w:val="en-US"/>
        </w:rPr>
      </w:pPr>
      <w:bookmarkStart w:id="3" w:name="_Toc228624558"/>
      <w:r w:rsidRPr="00E015BB">
        <w:rPr>
          <w:lang w:val="en-US"/>
        </w:rPr>
        <w:lastRenderedPageBreak/>
        <w:t>References</w:t>
      </w:r>
      <w:bookmarkEnd w:id="3"/>
    </w:p>
    <w:p w14:paraId="03F61443" w14:textId="57F1C418" w:rsidR="00E015BB" w:rsidRPr="00E015BB" w:rsidRDefault="00E015BB" w:rsidP="00E015BB">
      <w:pPr>
        <w:pStyle w:val="a7"/>
        <w:numPr>
          <w:ilvl w:val="0"/>
          <w:numId w:val="2"/>
        </w:numPr>
        <w:rPr>
          <w:lang w:val="en-US"/>
        </w:rPr>
      </w:pPr>
      <w:r w:rsidRPr="00E015BB">
        <w:rPr>
          <w:lang w:val="en-US"/>
        </w:rPr>
        <w:t>William A. Kahn. Psychological conditions of personal engagement and disengagement at work // Academy of Management Journal. 1990. Vol. 33, No. 4. P. 692–724. DOI: 10.5465/256287.</w:t>
      </w:r>
    </w:p>
    <w:p w14:paraId="12740989" w14:textId="672C46E8" w:rsidR="00E015BB" w:rsidRPr="00E015BB" w:rsidRDefault="00E015BB" w:rsidP="00E015BB">
      <w:pPr>
        <w:pStyle w:val="a7"/>
        <w:numPr>
          <w:ilvl w:val="0"/>
          <w:numId w:val="2"/>
        </w:numPr>
        <w:rPr>
          <w:lang w:val="en-US"/>
        </w:rPr>
      </w:pPr>
      <w:r w:rsidRPr="00E015BB">
        <w:rPr>
          <w:lang w:val="en-US"/>
        </w:rPr>
        <w:t>William H. Macey, Benjamin Schneider. The meaning of employee engagement // Industrial and Organizational Psychology. 2008. Vol. 1. P. 3–30.</w:t>
      </w:r>
    </w:p>
    <w:p w14:paraId="089E9348" w14:textId="4D652DE9" w:rsidR="00E015BB" w:rsidRPr="00E015BB" w:rsidRDefault="00E015BB" w:rsidP="00E015BB">
      <w:pPr>
        <w:pStyle w:val="a7"/>
        <w:numPr>
          <w:ilvl w:val="0"/>
          <w:numId w:val="2"/>
        </w:numPr>
        <w:rPr>
          <w:lang w:val="en-US"/>
        </w:rPr>
      </w:pPr>
      <w:r w:rsidRPr="00E015BB">
        <w:rPr>
          <w:lang w:val="en-US"/>
        </w:rPr>
        <w:t>CIPD. Employee engagement: definitions, measures and outcomes. Discussion report. London, 2020. 38 p.</w:t>
      </w:r>
    </w:p>
    <w:p w14:paraId="4684E1B6" w14:textId="183980E8" w:rsidR="00E015BB" w:rsidRPr="00E015BB" w:rsidRDefault="00E015BB" w:rsidP="00E015BB">
      <w:pPr>
        <w:pStyle w:val="a7"/>
        <w:numPr>
          <w:ilvl w:val="0"/>
          <w:numId w:val="2"/>
        </w:numPr>
        <w:rPr>
          <w:lang w:val="en-US"/>
        </w:rPr>
      </w:pPr>
      <w:r w:rsidRPr="00E015BB">
        <w:rPr>
          <w:lang w:val="en-US"/>
        </w:rPr>
        <w:t xml:space="preserve"> Prasanna Tambe, Peter Cappelli, Valery </w:t>
      </w:r>
      <w:proofErr w:type="spellStart"/>
      <w:r w:rsidRPr="00E015BB">
        <w:rPr>
          <w:lang w:val="en-US"/>
        </w:rPr>
        <w:t>Yakubovich</w:t>
      </w:r>
      <w:proofErr w:type="spellEnd"/>
      <w:r w:rsidRPr="00E015BB">
        <w:rPr>
          <w:lang w:val="en-US"/>
        </w:rPr>
        <w:t>. Artificial intelligence in human resources management: Challenges and a path forward // California Management Review. 2019. Vol. 61, No. 4. P. 15–42. DOI: 10.1177/0008125619867910.</w:t>
      </w:r>
    </w:p>
    <w:p w14:paraId="72D3D190" w14:textId="465A8C1A" w:rsidR="00E015BB" w:rsidRPr="00E015BB" w:rsidRDefault="00E015BB" w:rsidP="00E015BB">
      <w:pPr>
        <w:pStyle w:val="a7"/>
        <w:numPr>
          <w:ilvl w:val="0"/>
          <w:numId w:val="2"/>
        </w:numPr>
        <w:rPr>
          <w:lang w:val="en-US"/>
        </w:rPr>
      </w:pPr>
      <w:r w:rsidRPr="00E015BB">
        <w:rPr>
          <w:lang w:val="en-US"/>
        </w:rPr>
        <w:t>Omer Bar-Gil</w:t>
      </w:r>
      <w:r>
        <w:rPr>
          <w:lang w:val="en-US"/>
        </w:rPr>
        <w:t xml:space="preserve"> </w:t>
      </w:r>
      <w:r w:rsidRPr="00E015BB">
        <w:rPr>
          <w:lang w:val="en-US"/>
        </w:rPr>
        <w:t>et al. AI for the people? Embedding AI ethics in HR and organizations // International Journal of Information Management. 2024.</w:t>
      </w:r>
    </w:p>
    <w:p w14:paraId="431B8855" w14:textId="44670E07" w:rsidR="00E015BB" w:rsidRPr="00E015BB" w:rsidRDefault="00E015BB" w:rsidP="00E015BB">
      <w:pPr>
        <w:pStyle w:val="a7"/>
        <w:numPr>
          <w:ilvl w:val="0"/>
          <w:numId w:val="2"/>
        </w:numPr>
        <w:rPr>
          <w:lang w:val="en-US"/>
        </w:rPr>
      </w:pPr>
      <w:r w:rsidRPr="00E015BB">
        <w:rPr>
          <w:lang w:val="en-US"/>
        </w:rPr>
        <w:t xml:space="preserve"> Philip M. Podsakoff, Scott B. </w:t>
      </w:r>
      <w:proofErr w:type="spellStart"/>
      <w:r w:rsidRPr="00E015BB">
        <w:rPr>
          <w:lang w:val="en-US"/>
        </w:rPr>
        <w:t>MacKenzie</w:t>
      </w:r>
      <w:proofErr w:type="spellEnd"/>
      <w:r w:rsidRPr="00E015BB">
        <w:rPr>
          <w:lang w:val="en-US"/>
        </w:rPr>
        <w:t>, Jeong-Yeon Lee, Nathan P. Podsakoff. Common method biases in behavioral research: A critical review of the literature and recommended remedies // Journal of Applied Psychology. 2003. Vol. 88, No. 5. P. 879–903. DOI: 10.1037/0021-9010.88.5.879.</w:t>
      </w:r>
    </w:p>
    <w:p w14:paraId="124A0B02" w14:textId="6FDEA55C" w:rsidR="00E015BB" w:rsidRPr="00E015BB" w:rsidRDefault="00E015BB" w:rsidP="00E015BB">
      <w:pPr>
        <w:pStyle w:val="a7"/>
        <w:numPr>
          <w:ilvl w:val="0"/>
          <w:numId w:val="2"/>
        </w:numPr>
        <w:rPr>
          <w:lang w:val="en-US"/>
        </w:rPr>
      </w:pPr>
      <w:r w:rsidRPr="00E015BB">
        <w:rPr>
          <w:lang w:val="en-US"/>
        </w:rPr>
        <w:t xml:space="preserve"> Alan M. Saks. Antecedents and consequences of employee engagement // Journal of Managerial Psychology. 2006. Vol. 21, No. 7. P. 600–619. DOI: 10.1108/02683940610690169.</w:t>
      </w:r>
    </w:p>
    <w:p w14:paraId="3D95154E" w14:textId="325FDD12" w:rsidR="00E015BB" w:rsidRPr="00E015BB" w:rsidRDefault="00E015BB" w:rsidP="00E015BB">
      <w:pPr>
        <w:pStyle w:val="a7"/>
        <w:numPr>
          <w:ilvl w:val="0"/>
          <w:numId w:val="2"/>
        </w:numPr>
        <w:rPr>
          <w:lang w:val="en-US"/>
        </w:rPr>
      </w:pPr>
      <w:r w:rsidRPr="00E015BB">
        <w:rPr>
          <w:lang w:val="en-US"/>
        </w:rPr>
        <w:t xml:space="preserve"> Russell </w:t>
      </w:r>
      <w:proofErr w:type="spellStart"/>
      <w:r w:rsidRPr="00E015BB">
        <w:rPr>
          <w:lang w:val="en-US"/>
        </w:rPr>
        <w:t>Cropanzano</w:t>
      </w:r>
      <w:proofErr w:type="spellEnd"/>
      <w:r w:rsidRPr="00E015BB">
        <w:rPr>
          <w:lang w:val="en-US"/>
        </w:rPr>
        <w:t>, Marie S. Mitchell. Social exchange theory: An interdisciplinary review // Journal of Management. 2005. Vol. 31, No. 6. P. 874–900. DOI: 10.1177/0149206305279602.</w:t>
      </w:r>
    </w:p>
    <w:p w14:paraId="1B5F396A" w14:textId="3D9F1637" w:rsidR="00E015BB" w:rsidRPr="00E015BB" w:rsidRDefault="00E015BB" w:rsidP="00E015BB">
      <w:pPr>
        <w:pStyle w:val="a7"/>
        <w:numPr>
          <w:ilvl w:val="0"/>
          <w:numId w:val="2"/>
        </w:numPr>
        <w:rPr>
          <w:lang w:val="en-US"/>
        </w:rPr>
      </w:pPr>
      <w:r w:rsidRPr="00E015BB">
        <w:rPr>
          <w:lang w:val="en-US"/>
        </w:rPr>
        <w:t>Arnold B. Bakker, Evangelia Demerouti. The Job Demands–Resources model: State of the art // Journal of Managerial Psychology. 2007. Vol. 22, No. 3. P. 309–328. DOI: 10.1108/02683940710733115.</w:t>
      </w:r>
    </w:p>
    <w:p w14:paraId="2F2A5673" w14:textId="7A2F0C7C" w:rsidR="00E015BB" w:rsidRPr="00E015BB" w:rsidRDefault="00E015BB" w:rsidP="00E015BB">
      <w:pPr>
        <w:pStyle w:val="a7"/>
        <w:numPr>
          <w:ilvl w:val="0"/>
          <w:numId w:val="2"/>
        </w:numPr>
        <w:rPr>
          <w:lang w:val="en-US"/>
        </w:rPr>
      </w:pPr>
      <w:r w:rsidRPr="00E015BB">
        <w:rPr>
          <w:lang w:val="en-US"/>
        </w:rPr>
        <w:lastRenderedPageBreak/>
        <w:t xml:space="preserve"> Michael S. Christian, Alexandra S. Garza, Jerel E. Slaughter. Work engagement: A quantitative review and test of its relations with task and contextual performance // Personnel Psychology. 2011.</w:t>
      </w:r>
    </w:p>
    <w:p w14:paraId="06434370" w14:textId="0D80D287" w:rsidR="00E015BB" w:rsidRPr="00E015BB" w:rsidRDefault="00E015BB" w:rsidP="00E015BB">
      <w:pPr>
        <w:pStyle w:val="a7"/>
        <w:numPr>
          <w:ilvl w:val="0"/>
          <w:numId w:val="2"/>
        </w:numPr>
        <w:rPr>
          <w:lang w:val="en-US"/>
        </w:rPr>
      </w:pPr>
      <w:r w:rsidRPr="00E015BB">
        <w:rPr>
          <w:lang w:val="en-US"/>
        </w:rPr>
        <w:t xml:space="preserve"> Jay B. Barney. Firm resources and sustained competitive advantage // Journal of Management. 1991. Vol. 17, No. 1. P. 99–120. DOI: 10.1177/014920639101700108.</w:t>
      </w:r>
    </w:p>
    <w:p w14:paraId="5D7EC201" w14:textId="71F7A0E2" w:rsidR="00E015BB" w:rsidRPr="00E015BB" w:rsidRDefault="00E015BB" w:rsidP="00E015BB">
      <w:pPr>
        <w:pStyle w:val="a7"/>
        <w:numPr>
          <w:ilvl w:val="0"/>
          <w:numId w:val="2"/>
        </w:numPr>
        <w:rPr>
          <w:lang w:val="en-US"/>
        </w:rPr>
      </w:pPr>
      <w:r w:rsidRPr="00E015BB">
        <w:rPr>
          <w:lang w:val="en-US"/>
        </w:rPr>
        <w:t xml:space="preserve"> Wilmar B. Schaufeli, Marisa </w:t>
      </w:r>
      <w:proofErr w:type="spellStart"/>
      <w:r w:rsidRPr="00E015BB">
        <w:rPr>
          <w:lang w:val="en-US"/>
        </w:rPr>
        <w:t>Salanova</w:t>
      </w:r>
      <w:proofErr w:type="spellEnd"/>
      <w:r w:rsidRPr="00E015BB">
        <w:rPr>
          <w:lang w:val="en-US"/>
        </w:rPr>
        <w:t>, Vicente Gonzalez-Roma, Arnold B. Bakker. The measurement of engagement and burnout: A confirmative analytic approach // Journal of Happiness Studies. 2002. Vol. 3. P. 71–92.</w:t>
      </w:r>
    </w:p>
    <w:p w14:paraId="62E5818B" w14:textId="72D47A5A" w:rsidR="00E015BB" w:rsidRPr="00E015BB" w:rsidRDefault="00E015BB" w:rsidP="00E015BB">
      <w:pPr>
        <w:pStyle w:val="a7"/>
        <w:numPr>
          <w:ilvl w:val="0"/>
          <w:numId w:val="2"/>
        </w:numPr>
        <w:rPr>
          <w:lang w:val="en-US"/>
        </w:rPr>
      </w:pPr>
      <w:r w:rsidRPr="00E015BB">
        <w:rPr>
          <w:lang w:val="en-US"/>
        </w:rPr>
        <w:t xml:space="preserve"> Lee J. Cronbach. Coefficient alpha and the internal structure of tests // Psychometrika. 1951. Vol. 16, No. 3. P. 297–334.</w:t>
      </w:r>
    </w:p>
    <w:p w14:paraId="19A7A1E4" w14:textId="5798AEB9" w:rsidR="00E015BB" w:rsidRPr="00E015BB" w:rsidRDefault="00E015BB" w:rsidP="00E015BB">
      <w:pPr>
        <w:pStyle w:val="a7"/>
        <w:numPr>
          <w:ilvl w:val="0"/>
          <w:numId w:val="2"/>
        </w:numPr>
        <w:rPr>
          <w:lang w:val="en-US"/>
        </w:rPr>
      </w:pPr>
      <w:r w:rsidRPr="00E015BB">
        <w:rPr>
          <w:lang w:val="en-US"/>
        </w:rPr>
        <w:t xml:space="preserve"> OECD. Handbook on constructing composite indicators: Methodology and user guide. Paris: OECD Publishing, 2008. DOI: 10.1787/9789264043466-en.</w:t>
      </w:r>
    </w:p>
    <w:p w14:paraId="4EFA6CFD" w14:textId="61B96EFE" w:rsidR="00E015BB" w:rsidRPr="00E015BB" w:rsidRDefault="00E015BB" w:rsidP="00E015BB">
      <w:pPr>
        <w:pStyle w:val="a7"/>
        <w:numPr>
          <w:ilvl w:val="0"/>
          <w:numId w:val="2"/>
        </w:numPr>
        <w:rPr>
          <w:lang w:val="en-US"/>
        </w:rPr>
      </w:pPr>
      <w:r w:rsidRPr="00E015BB">
        <w:rPr>
          <w:lang w:val="en-US"/>
        </w:rPr>
        <w:t xml:space="preserve"> Andrew B. Speer et al. Turning words into numbers: Assessing work attitudes using natural language processing // Journal of Applied Psychology. 2023. Vol. 108, No. 6. P. 1027–1045. DOI: 10.1037/apl0001061.</w:t>
      </w:r>
    </w:p>
    <w:p w14:paraId="7833F27C" w14:textId="40C6CB99" w:rsidR="00E015BB" w:rsidRPr="00E015BB" w:rsidRDefault="00E015BB" w:rsidP="00E015BB">
      <w:pPr>
        <w:pStyle w:val="a7"/>
        <w:numPr>
          <w:ilvl w:val="0"/>
          <w:numId w:val="2"/>
        </w:numPr>
        <w:rPr>
          <w:lang w:val="en-US"/>
        </w:rPr>
      </w:pPr>
      <w:r w:rsidRPr="00E015BB">
        <w:rPr>
          <w:lang w:val="en-US"/>
        </w:rPr>
        <w:t xml:space="preserve"> Helene </w:t>
      </w:r>
      <w:proofErr w:type="spellStart"/>
      <w:r w:rsidRPr="00E015BB">
        <w:rPr>
          <w:lang w:val="en-US"/>
        </w:rPr>
        <w:t>Willadsen</w:t>
      </w:r>
      <w:proofErr w:type="spellEnd"/>
      <w:r w:rsidRPr="00E015BB">
        <w:rPr>
          <w:lang w:val="en-US"/>
        </w:rPr>
        <w:t>, Annika Bonk. Inferring employee concerns from open text survey responses // Journal of Business Analytics. 2025. DOI: 10.1080/2573234X.2025.2608265.</w:t>
      </w:r>
    </w:p>
    <w:p w14:paraId="7BEA714F" w14:textId="500CF9B7" w:rsidR="00E015BB" w:rsidRPr="00E015BB" w:rsidRDefault="00E015BB" w:rsidP="00E015BB">
      <w:pPr>
        <w:pStyle w:val="a7"/>
        <w:numPr>
          <w:ilvl w:val="0"/>
          <w:numId w:val="2"/>
        </w:numPr>
      </w:pPr>
      <w:r>
        <w:rPr>
          <w:lang w:val="en-US"/>
        </w:rPr>
        <w:t xml:space="preserve"> </w:t>
      </w:r>
      <w:r w:rsidRPr="00E015BB">
        <w:rPr>
          <w:lang w:val="en-US"/>
        </w:rPr>
        <w:t xml:space="preserve">James K. Harter, Frank L. Schmidt, Theodore L. Hayes. Business-unit-level relationship between employee satisfaction, employee engagement, and business outcomes: A meta-analysis // Journal of Applied Psychology. 2002. Vol. 87, No. 2. P. 268–279. DOI: 10.1037/0021-9010.87.2.268. </w:t>
      </w:r>
    </w:p>
    <w:p w14:paraId="6C09E40D" w14:textId="4D6A9163" w:rsidR="00E015BB" w:rsidRPr="00E015BB" w:rsidRDefault="00E015BB" w:rsidP="00E015BB">
      <w:pPr>
        <w:pStyle w:val="a7"/>
        <w:numPr>
          <w:ilvl w:val="0"/>
          <w:numId w:val="2"/>
        </w:numPr>
      </w:pPr>
      <w:r w:rsidRPr="00E015BB">
        <w:rPr>
          <w:lang w:val="en-US"/>
        </w:rPr>
        <w:t xml:space="preserve"> Peter W. Hom et al. One hundred years of employee turnover theory and research // Journal of Applied Psychology. 2017.</w:t>
      </w:r>
    </w:p>
    <w:p w14:paraId="527EA668" w14:textId="175A1338" w:rsidR="00E015BB" w:rsidRPr="00E015BB" w:rsidRDefault="00E015BB" w:rsidP="00E015BB">
      <w:pPr>
        <w:pStyle w:val="a7"/>
        <w:numPr>
          <w:ilvl w:val="0"/>
          <w:numId w:val="2"/>
        </w:numPr>
      </w:pPr>
      <w:r w:rsidRPr="00E015BB">
        <w:rPr>
          <w:lang w:val="en-US"/>
        </w:rPr>
        <w:lastRenderedPageBreak/>
        <w:t xml:space="preserve"> </w:t>
      </w:r>
      <w:proofErr w:type="spellStart"/>
      <w:r w:rsidRPr="00E015BB">
        <w:rPr>
          <w:lang w:val="en-US"/>
        </w:rPr>
        <w:t>Arindrajit</w:t>
      </w:r>
      <w:proofErr w:type="spellEnd"/>
      <w:r w:rsidRPr="00E015BB">
        <w:rPr>
          <w:lang w:val="en-US"/>
        </w:rPr>
        <w:t xml:space="preserve"> Dube, Eric Freeman, Michael Reich. Employee Replacement Costs. IRLE Working Paper 201-10. Berkeley: Institute for Research on Labor and Employment, University of California, 2010.</w:t>
      </w:r>
    </w:p>
    <w:p w14:paraId="5FC2BBF8" w14:textId="5DC77D61" w:rsidR="00E015BB" w:rsidRPr="00E015BB" w:rsidRDefault="00E015BB" w:rsidP="00E015BB">
      <w:pPr>
        <w:pStyle w:val="a7"/>
        <w:numPr>
          <w:ilvl w:val="0"/>
          <w:numId w:val="2"/>
        </w:numPr>
      </w:pPr>
      <w:r w:rsidRPr="00E015BB">
        <w:rPr>
          <w:lang w:val="en-US"/>
        </w:rPr>
        <w:t xml:space="preserve"> Alex Edmans. Does the stock market fully value intangibles? Employee satisfaction and equity prices // Journal of Financial Economics. 2011. Vol. 101, No. 3. P. 621–640. DOI: 10.1016/j.jfineco.2011.03.021.</w:t>
      </w:r>
    </w:p>
    <w:p w14:paraId="4CB21147" w14:textId="72CAA689" w:rsidR="00E015BB" w:rsidRPr="00E015BB" w:rsidRDefault="00E015BB" w:rsidP="00E015BB">
      <w:pPr>
        <w:pStyle w:val="a7"/>
        <w:numPr>
          <w:ilvl w:val="0"/>
          <w:numId w:val="2"/>
        </w:numPr>
      </w:pPr>
      <w:r w:rsidRPr="00E015BB">
        <w:rPr>
          <w:lang w:val="en-US"/>
        </w:rPr>
        <w:t xml:space="preserve"> T. Clifton Green, </w:t>
      </w:r>
      <w:proofErr w:type="spellStart"/>
      <w:r w:rsidRPr="00E015BB">
        <w:rPr>
          <w:lang w:val="en-US"/>
        </w:rPr>
        <w:t>Ruoyan</w:t>
      </w:r>
      <w:proofErr w:type="spellEnd"/>
      <w:r w:rsidRPr="00E015BB">
        <w:rPr>
          <w:lang w:val="en-US"/>
        </w:rPr>
        <w:t xml:space="preserve"> Huang, Quan Wen, </w:t>
      </w:r>
      <w:proofErr w:type="spellStart"/>
      <w:r w:rsidRPr="00E015BB">
        <w:rPr>
          <w:lang w:val="en-US"/>
        </w:rPr>
        <w:t>Dexin</w:t>
      </w:r>
      <w:proofErr w:type="spellEnd"/>
      <w:r w:rsidRPr="00E015BB">
        <w:rPr>
          <w:lang w:val="en-US"/>
        </w:rPr>
        <w:t xml:space="preserve"> Zhou. Crowdsourced employer reviews and stock returns // Journal of Financial Economics. 2019. DOI: 10.1016/j.jfineco.2019.03.012.</w:t>
      </w:r>
    </w:p>
    <w:p w14:paraId="664DB81E" w14:textId="3ED99A93" w:rsidR="00E015BB" w:rsidRPr="00E015BB" w:rsidRDefault="00E015BB" w:rsidP="00E015BB">
      <w:pPr>
        <w:pStyle w:val="a7"/>
        <w:numPr>
          <w:ilvl w:val="0"/>
          <w:numId w:val="2"/>
        </w:numPr>
      </w:pPr>
      <w:r w:rsidRPr="00E015BB">
        <w:rPr>
          <w:lang w:val="en-US"/>
        </w:rPr>
        <w:t xml:space="preserve"> Solon </w:t>
      </w:r>
      <w:proofErr w:type="spellStart"/>
      <w:r w:rsidRPr="00E015BB">
        <w:rPr>
          <w:lang w:val="en-US"/>
        </w:rPr>
        <w:t>Barocas</w:t>
      </w:r>
      <w:proofErr w:type="spellEnd"/>
      <w:r w:rsidRPr="00E015BB">
        <w:rPr>
          <w:lang w:val="en-US"/>
        </w:rPr>
        <w:t xml:space="preserve">, Andrew D. </w:t>
      </w:r>
      <w:proofErr w:type="spellStart"/>
      <w:r w:rsidRPr="00E015BB">
        <w:rPr>
          <w:lang w:val="en-US"/>
        </w:rPr>
        <w:t>Selbst</w:t>
      </w:r>
      <w:proofErr w:type="spellEnd"/>
      <w:r w:rsidRPr="00E015BB">
        <w:rPr>
          <w:lang w:val="en-US"/>
        </w:rPr>
        <w:t>. Big Data’s disparate impact // California Law Review. 2016. Vol. 104. P. 671–732.</w:t>
      </w:r>
    </w:p>
    <w:p w14:paraId="4E9D433F" w14:textId="2BF5ED97" w:rsidR="00E015BB" w:rsidRPr="00E015BB" w:rsidRDefault="00E015BB" w:rsidP="00E015BB">
      <w:pPr>
        <w:pStyle w:val="a7"/>
        <w:numPr>
          <w:ilvl w:val="0"/>
          <w:numId w:val="2"/>
        </w:numPr>
      </w:pPr>
      <w:r w:rsidRPr="00E015BB">
        <w:rPr>
          <w:lang w:val="en-US"/>
        </w:rPr>
        <w:t xml:space="preserve"> Manish Raghavan et al. Mitigating bias in algorithmic hiring: Evaluating claims and practices // Proceedings of the 2020 Conference on Fairness, Accountability, and Transparency (FAT ’</w:t>
      </w:r>
      <w:proofErr w:type="gramStart"/>
      <w:r w:rsidRPr="00E015BB">
        <w:rPr>
          <w:lang w:val="en-US"/>
        </w:rPr>
        <w:t>20)*</w:t>
      </w:r>
      <w:proofErr w:type="gramEnd"/>
      <w:r w:rsidRPr="00E015BB">
        <w:rPr>
          <w:lang w:val="en-US"/>
        </w:rPr>
        <w:t>. 2020. P. 469–481. DOI: 10.1145/3351095.3372828.</w:t>
      </w:r>
    </w:p>
    <w:p w14:paraId="02299465" w14:textId="5F3E9B32" w:rsidR="00E015BB" w:rsidRPr="00E015BB" w:rsidRDefault="00E015BB" w:rsidP="00E015BB">
      <w:pPr>
        <w:pStyle w:val="a7"/>
        <w:numPr>
          <w:ilvl w:val="0"/>
          <w:numId w:val="2"/>
        </w:numPr>
      </w:pPr>
      <w:r w:rsidRPr="00E015BB">
        <w:rPr>
          <w:lang w:val="en-US"/>
        </w:rPr>
        <w:t xml:space="preserve"> Lois Rink, Job </w:t>
      </w:r>
      <w:proofErr w:type="spellStart"/>
      <w:r w:rsidRPr="00E015BB">
        <w:rPr>
          <w:lang w:val="en-US"/>
        </w:rPr>
        <w:t>Meijdam</w:t>
      </w:r>
      <w:proofErr w:type="spellEnd"/>
      <w:r w:rsidRPr="00E015BB">
        <w:rPr>
          <w:lang w:val="en-US"/>
        </w:rPr>
        <w:t xml:space="preserve">, David </w:t>
      </w:r>
      <w:proofErr w:type="spellStart"/>
      <w:r w:rsidRPr="00E015BB">
        <w:rPr>
          <w:lang w:val="en-US"/>
        </w:rPr>
        <w:t>Graus</w:t>
      </w:r>
      <w:proofErr w:type="spellEnd"/>
      <w:r w:rsidRPr="00E015BB">
        <w:rPr>
          <w:lang w:val="en-US"/>
        </w:rPr>
        <w:t xml:space="preserve">. Aspect-Based Sentiment Analysis for Open-Ended HR Survey Responses // </w:t>
      </w:r>
      <w:proofErr w:type="spellStart"/>
      <w:r w:rsidRPr="00E015BB">
        <w:rPr>
          <w:lang w:val="en-US"/>
        </w:rPr>
        <w:t>arXiv</w:t>
      </w:r>
      <w:proofErr w:type="spellEnd"/>
      <w:r w:rsidRPr="00E015BB">
        <w:rPr>
          <w:lang w:val="en-US"/>
        </w:rPr>
        <w:t>. 2024. arXiv:2402.04812.</w:t>
      </w:r>
    </w:p>
    <w:p w14:paraId="102E8544" w14:textId="73615B51" w:rsidR="00E015BB" w:rsidRPr="00E015BB" w:rsidRDefault="00E015BB" w:rsidP="00E015BB">
      <w:pPr>
        <w:pStyle w:val="a7"/>
        <w:numPr>
          <w:ilvl w:val="0"/>
          <w:numId w:val="2"/>
        </w:numPr>
      </w:pPr>
      <w:r w:rsidRPr="00E015BB">
        <w:rPr>
          <w:lang w:val="en-US"/>
        </w:rPr>
        <w:t xml:space="preserve"> Scott M. Lundberg, Su-In Lee. A unified approach to interpreting model predictions // </w:t>
      </w:r>
      <w:proofErr w:type="spellStart"/>
      <w:r w:rsidRPr="00E015BB">
        <w:rPr>
          <w:lang w:val="en-US"/>
        </w:rPr>
        <w:t>arXiv</w:t>
      </w:r>
      <w:proofErr w:type="spellEnd"/>
      <w:r w:rsidRPr="00E015BB">
        <w:rPr>
          <w:lang w:val="en-US"/>
        </w:rPr>
        <w:t>. 2017. arXiv:1705.07874.</w:t>
      </w:r>
    </w:p>
    <w:p w14:paraId="63BB3960" w14:textId="70D171E3" w:rsidR="00E015BB" w:rsidRPr="00E015BB" w:rsidRDefault="00E015BB" w:rsidP="00E015BB">
      <w:pPr>
        <w:pStyle w:val="a7"/>
        <w:numPr>
          <w:ilvl w:val="0"/>
          <w:numId w:val="2"/>
        </w:numPr>
      </w:pPr>
      <w:r w:rsidRPr="00E015BB">
        <w:rPr>
          <w:lang w:val="en-US"/>
        </w:rPr>
        <w:t xml:space="preserve"> Marco Tulio Ribeiro, Sameer Singh, Carlos </w:t>
      </w:r>
      <w:proofErr w:type="spellStart"/>
      <w:r w:rsidRPr="00E015BB">
        <w:rPr>
          <w:lang w:val="en-US"/>
        </w:rPr>
        <w:t>Guestrin</w:t>
      </w:r>
      <w:proofErr w:type="spellEnd"/>
      <w:r w:rsidRPr="00E015BB">
        <w:rPr>
          <w:lang w:val="en-US"/>
        </w:rPr>
        <w:t>. “Why should I trust you?” Explaining the predictions of any classifier // Proceedings of the 22nd ACM SIGKDD International Conference on Knowledge Discovery and Data Mining (KDD ’16). 2016.</w:t>
      </w:r>
    </w:p>
    <w:p w14:paraId="20950725" w14:textId="4633BC97" w:rsidR="00E015BB" w:rsidRPr="00E015BB" w:rsidRDefault="00E015BB" w:rsidP="00E015BB">
      <w:pPr>
        <w:pStyle w:val="a7"/>
        <w:numPr>
          <w:ilvl w:val="0"/>
          <w:numId w:val="2"/>
        </w:numPr>
      </w:pPr>
      <w:r w:rsidRPr="00E015BB">
        <w:rPr>
          <w:lang w:val="en-US"/>
        </w:rPr>
        <w:t xml:space="preserve"> Victor </w:t>
      </w:r>
      <w:proofErr w:type="spellStart"/>
      <w:r w:rsidRPr="00E015BB">
        <w:rPr>
          <w:lang w:val="en-US"/>
        </w:rPr>
        <w:t>Chernozhukov</w:t>
      </w:r>
      <w:proofErr w:type="spellEnd"/>
      <w:r>
        <w:t xml:space="preserve"> </w:t>
      </w:r>
      <w:r w:rsidRPr="00E015BB">
        <w:rPr>
          <w:lang w:val="en-US"/>
        </w:rPr>
        <w:t>et al. Double/debiased machine learning for treatment and structural parameters // The Econometrics Journal. 2018. Vol. 21, No. 1. P. C1–C68.</w:t>
      </w:r>
    </w:p>
    <w:p w14:paraId="103FE62B" w14:textId="58229124" w:rsidR="00E015BB" w:rsidRPr="00E015BB" w:rsidRDefault="00E015BB" w:rsidP="00E015BB">
      <w:pPr>
        <w:pStyle w:val="a7"/>
        <w:numPr>
          <w:ilvl w:val="0"/>
          <w:numId w:val="2"/>
        </w:numPr>
      </w:pPr>
      <w:r>
        <w:rPr>
          <w:lang w:val="en-US"/>
        </w:rPr>
        <w:lastRenderedPageBreak/>
        <w:t xml:space="preserve"> </w:t>
      </w:r>
      <w:r w:rsidRPr="00E015BB">
        <w:rPr>
          <w:lang w:val="en-US"/>
        </w:rPr>
        <w:t xml:space="preserve">Matteo </w:t>
      </w:r>
      <w:proofErr w:type="spellStart"/>
      <w:r w:rsidRPr="00E015BB">
        <w:rPr>
          <w:lang w:val="en-US"/>
        </w:rPr>
        <w:t>Loiet</w:t>
      </w:r>
      <w:proofErr w:type="spellEnd"/>
      <w:r w:rsidRPr="00E015BB">
        <w:rPr>
          <w:lang w:val="en-US"/>
        </w:rPr>
        <w:t xml:space="preserve"> al. People Analytics must benefit the people: An ethical analysis of data-driven algorithmic systems in human resources. </w:t>
      </w:r>
      <w:proofErr w:type="spellStart"/>
      <w:r w:rsidRPr="00E015BB">
        <w:rPr>
          <w:lang w:val="en-US"/>
        </w:rPr>
        <w:t>AlgorithmWatch</w:t>
      </w:r>
      <w:proofErr w:type="spellEnd"/>
      <w:r w:rsidRPr="00E015BB">
        <w:rPr>
          <w:lang w:val="en-US"/>
        </w:rPr>
        <w:t>, 2020.</w:t>
      </w:r>
    </w:p>
    <w:p w14:paraId="2099B306" w14:textId="4126FE33" w:rsidR="00E015BB" w:rsidRPr="00E015BB" w:rsidRDefault="00E015BB" w:rsidP="00E015BB">
      <w:pPr>
        <w:pStyle w:val="a7"/>
        <w:numPr>
          <w:ilvl w:val="0"/>
          <w:numId w:val="2"/>
        </w:numPr>
        <w:rPr>
          <w:lang w:val="en-US"/>
        </w:rPr>
      </w:pPr>
      <w:r>
        <w:rPr>
          <w:lang w:val="en-US"/>
        </w:rPr>
        <w:t xml:space="preserve"> </w:t>
      </w:r>
      <w:r w:rsidRPr="00E015BB">
        <w:rPr>
          <w:lang w:val="en-US"/>
        </w:rPr>
        <w:t>Rachit Garg</w:t>
      </w:r>
      <w:r w:rsidRPr="00E015BB">
        <w:rPr>
          <w:lang w:val="en-US"/>
        </w:rPr>
        <w:t xml:space="preserve"> </w:t>
      </w:r>
      <w:r w:rsidRPr="00E015BB">
        <w:rPr>
          <w:lang w:val="en-US"/>
        </w:rPr>
        <w:t xml:space="preserve">et al. </w:t>
      </w:r>
      <w:proofErr w:type="spellStart"/>
      <w:r w:rsidRPr="00E015BB">
        <w:rPr>
          <w:lang w:val="en-US"/>
        </w:rPr>
        <w:t>i</w:t>
      </w:r>
      <w:proofErr w:type="spellEnd"/>
      <w:r w:rsidRPr="00E015BB">
        <w:rPr>
          <w:lang w:val="en-US"/>
        </w:rPr>
        <w:t xml:space="preserve">-Pulse: </w:t>
      </w:r>
      <w:proofErr w:type="gramStart"/>
      <w:r w:rsidRPr="00E015BB">
        <w:rPr>
          <w:lang w:val="en-US"/>
        </w:rPr>
        <w:t>A</w:t>
      </w:r>
      <w:proofErr w:type="gramEnd"/>
      <w:r w:rsidRPr="00E015BB">
        <w:rPr>
          <w:lang w:val="en-US"/>
        </w:rPr>
        <w:t xml:space="preserve"> NLP based novel approach for employee engagement in logistics organization // </w:t>
      </w:r>
      <w:proofErr w:type="spellStart"/>
      <w:r w:rsidRPr="00E015BB">
        <w:rPr>
          <w:lang w:val="en-US"/>
        </w:rPr>
        <w:t>arXiv</w:t>
      </w:r>
      <w:proofErr w:type="spellEnd"/>
      <w:r w:rsidRPr="00E015BB">
        <w:rPr>
          <w:lang w:val="en-US"/>
        </w:rPr>
        <w:t>. 2021. arXiv:2106.07341.</w:t>
      </w:r>
    </w:p>
    <w:sectPr w:rsidR="00E015BB" w:rsidRPr="00E015B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BDCE6" w14:textId="77777777" w:rsidR="0075700D" w:rsidRDefault="0075700D" w:rsidP="00320653">
      <w:pPr>
        <w:spacing w:after="0" w:line="240" w:lineRule="auto"/>
      </w:pPr>
      <w:r>
        <w:separator/>
      </w:r>
    </w:p>
  </w:endnote>
  <w:endnote w:type="continuationSeparator" w:id="0">
    <w:p w14:paraId="010FD4B8" w14:textId="77777777" w:rsidR="0075700D" w:rsidRDefault="0075700D" w:rsidP="00320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E47BB" w14:textId="77777777" w:rsidR="0075700D" w:rsidRDefault="0075700D" w:rsidP="00320653">
      <w:pPr>
        <w:spacing w:after="0" w:line="240" w:lineRule="auto"/>
      </w:pPr>
      <w:r>
        <w:separator/>
      </w:r>
    </w:p>
  </w:footnote>
  <w:footnote w:type="continuationSeparator" w:id="0">
    <w:p w14:paraId="372C7FBF" w14:textId="77777777" w:rsidR="0075700D" w:rsidRDefault="0075700D" w:rsidP="003206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5CF6C2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DEA5AB1"/>
    <w:multiLevelType w:val="hybridMultilevel"/>
    <w:tmpl w:val="1DD4CC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6BB0809"/>
    <w:multiLevelType w:val="hybridMultilevel"/>
    <w:tmpl w:val="F92478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938566823">
    <w:abstractNumId w:val="1"/>
  </w:num>
  <w:num w:numId="2" w16cid:durableId="1425953978">
    <w:abstractNumId w:val="2"/>
  </w:num>
  <w:num w:numId="3" w16cid:durableId="1910917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7DB"/>
    <w:rsid w:val="00096F21"/>
    <w:rsid w:val="0013624B"/>
    <w:rsid w:val="00173E03"/>
    <w:rsid w:val="002A778E"/>
    <w:rsid w:val="00320653"/>
    <w:rsid w:val="003239FB"/>
    <w:rsid w:val="005157DB"/>
    <w:rsid w:val="0075700D"/>
    <w:rsid w:val="00776C4C"/>
    <w:rsid w:val="007F49FF"/>
    <w:rsid w:val="00841C44"/>
    <w:rsid w:val="009D6445"/>
    <w:rsid w:val="00A327B8"/>
    <w:rsid w:val="00A85FF7"/>
    <w:rsid w:val="00AB5E92"/>
    <w:rsid w:val="00BA4C58"/>
    <w:rsid w:val="00CE423A"/>
    <w:rsid w:val="00E015BB"/>
    <w:rsid w:val="00E01FAE"/>
    <w:rsid w:val="00FE3F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BC563"/>
  <w15:chartTrackingRefBased/>
  <w15:docId w15:val="{07B366F3-7704-4491-9E56-9024DF29A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4C58"/>
    <w:pPr>
      <w:spacing w:after="120" w:line="36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320653"/>
    <w:pPr>
      <w:keepNext/>
      <w:keepLines/>
      <w:spacing w:before="360" w:after="80"/>
      <w:ind w:firstLine="0"/>
      <w:jc w:val="center"/>
      <w:outlineLvl w:val="0"/>
    </w:pPr>
    <w:rPr>
      <w:rFonts w:eastAsiaTheme="majorEastAsia" w:cstheme="majorBidi"/>
      <w:b/>
      <w:color w:val="000000" w:themeColor="text1"/>
      <w:szCs w:val="40"/>
    </w:rPr>
  </w:style>
  <w:style w:type="paragraph" w:styleId="2">
    <w:name w:val="heading 2"/>
    <w:basedOn w:val="a"/>
    <w:next w:val="a"/>
    <w:link w:val="20"/>
    <w:uiPriority w:val="9"/>
    <w:semiHidden/>
    <w:unhideWhenUsed/>
    <w:qFormat/>
    <w:rsid w:val="00E015BB"/>
    <w:pPr>
      <w:keepNext/>
      <w:keepLines/>
      <w:spacing w:before="160" w:after="80"/>
      <w:ind w:firstLine="0"/>
      <w:jc w:val="center"/>
      <w:outlineLvl w:val="1"/>
    </w:pPr>
    <w:rPr>
      <w:rFonts w:eastAsiaTheme="majorEastAsia" w:cstheme="majorBidi"/>
      <w:b/>
      <w:color w:val="0F4761" w:themeColor="accent1" w:themeShade="BF"/>
      <w:szCs w:val="32"/>
    </w:rPr>
  </w:style>
  <w:style w:type="paragraph" w:styleId="3">
    <w:name w:val="heading 3"/>
    <w:basedOn w:val="a"/>
    <w:next w:val="a"/>
    <w:link w:val="30"/>
    <w:uiPriority w:val="9"/>
    <w:semiHidden/>
    <w:unhideWhenUsed/>
    <w:qFormat/>
    <w:rsid w:val="005157DB"/>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5157D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157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157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157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57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157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0653"/>
    <w:rPr>
      <w:rFonts w:ascii="Times New Roman" w:eastAsiaTheme="majorEastAsia" w:hAnsi="Times New Roman" w:cstheme="majorBidi"/>
      <w:b/>
      <w:color w:val="000000" w:themeColor="text1"/>
      <w:kern w:val="0"/>
      <w:sz w:val="28"/>
      <w:szCs w:val="40"/>
      <w14:ligatures w14:val="none"/>
    </w:rPr>
  </w:style>
  <w:style w:type="character" w:customStyle="1" w:styleId="20">
    <w:name w:val="Заголовок 2 Знак"/>
    <w:basedOn w:val="a0"/>
    <w:link w:val="2"/>
    <w:uiPriority w:val="9"/>
    <w:semiHidden/>
    <w:rsid w:val="00E015BB"/>
    <w:rPr>
      <w:rFonts w:ascii="Times New Roman" w:eastAsiaTheme="majorEastAsia" w:hAnsi="Times New Roman" w:cstheme="majorBidi"/>
      <w:b/>
      <w:color w:val="0F4761" w:themeColor="accent1" w:themeShade="BF"/>
      <w:kern w:val="0"/>
      <w:sz w:val="28"/>
      <w:szCs w:val="32"/>
      <w14:ligatures w14:val="none"/>
    </w:rPr>
  </w:style>
  <w:style w:type="character" w:customStyle="1" w:styleId="30">
    <w:name w:val="Заголовок 3 Знак"/>
    <w:basedOn w:val="a0"/>
    <w:link w:val="3"/>
    <w:uiPriority w:val="9"/>
    <w:semiHidden/>
    <w:rsid w:val="005157D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157D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157D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157D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157DB"/>
    <w:rPr>
      <w:rFonts w:eastAsiaTheme="majorEastAsia" w:cstheme="majorBidi"/>
      <w:color w:val="595959" w:themeColor="text1" w:themeTint="A6"/>
    </w:rPr>
  </w:style>
  <w:style w:type="character" w:customStyle="1" w:styleId="80">
    <w:name w:val="Заголовок 8 Знак"/>
    <w:basedOn w:val="a0"/>
    <w:link w:val="8"/>
    <w:uiPriority w:val="9"/>
    <w:semiHidden/>
    <w:rsid w:val="005157D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157DB"/>
    <w:rPr>
      <w:rFonts w:eastAsiaTheme="majorEastAsia" w:cstheme="majorBidi"/>
      <w:color w:val="272727" w:themeColor="text1" w:themeTint="D8"/>
    </w:rPr>
  </w:style>
  <w:style w:type="paragraph" w:styleId="a3">
    <w:name w:val="Title"/>
    <w:basedOn w:val="a"/>
    <w:next w:val="a"/>
    <w:link w:val="a4"/>
    <w:uiPriority w:val="10"/>
    <w:qFormat/>
    <w:rsid w:val="00515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157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57DB"/>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5157D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157DB"/>
    <w:pPr>
      <w:spacing w:before="160"/>
      <w:jc w:val="center"/>
    </w:pPr>
    <w:rPr>
      <w:i/>
      <w:iCs/>
      <w:color w:val="404040" w:themeColor="text1" w:themeTint="BF"/>
    </w:rPr>
  </w:style>
  <w:style w:type="character" w:customStyle="1" w:styleId="22">
    <w:name w:val="Цитата 2 Знак"/>
    <w:basedOn w:val="a0"/>
    <w:link w:val="21"/>
    <w:uiPriority w:val="29"/>
    <w:rsid w:val="005157DB"/>
    <w:rPr>
      <w:i/>
      <w:iCs/>
      <w:color w:val="404040" w:themeColor="text1" w:themeTint="BF"/>
    </w:rPr>
  </w:style>
  <w:style w:type="paragraph" w:styleId="a7">
    <w:name w:val="List Paragraph"/>
    <w:basedOn w:val="a"/>
    <w:uiPriority w:val="34"/>
    <w:qFormat/>
    <w:rsid w:val="005157DB"/>
    <w:pPr>
      <w:ind w:left="720"/>
      <w:contextualSpacing/>
    </w:pPr>
  </w:style>
  <w:style w:type="character" w:styleId="a8">
    <w:name w:val="Intense Emphasis"/>
    <w:basedOn w:val="a0"/>
    <w:uiPriority w:val="21"/>
    <w:qFormat/>
    <w:rsid w:val="005157DB"/>
    <w:rPr>
      <w:i/>
      <w:iCs/>
      <w:color w:val="0F4761" w:themeColor="accent1" w:themeShade="BF"/>
    </w:rPr>
  </w:style>
  <w:style w:type="paragraph" w:styleId="a9">
    <w:name w:val="Intense Quote"/>
    <w:basedOn w:val="a"/>
    <w:next w:val="a"/>
    <w:link w:val="aa"/>
    <w:uiPriority w:val="30"/>
    <w:qFormat/>
    <w:rsid w:val="00515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157DB"/>
    <w:rPr>
      <w:i/>
      <w:iCs/>
      <w:color w:val="0F4761" w:themeColor="accent1" w:themeShade="BF"/>
    </w:rPr>
  </w:style>
  <w:style w:type="character" w:styleId="ab">
    <w:name w:val="Intense Reference"/>
    <w:basedOn w:val="a0"/>
    <w:uiPriority w:val="32"/>
    <w:qFormat/>
    <w:rsid w:val="005157DB"/>
    <w:rPr>
      <w:b/>
      <w:bCs/>
      <w:smallCaps/>
      <w:color w:val="0F4761" w:themeColor="accent1" w:themeShade="BF"/>
      <w:spacing w:val="5"/>
    </w:rPr>
  </w:style>
  <w:style w:type="paragraph" w:styleId="ac">
    <w:name w:val="footnote text"/>
    <w:basedOn w:val="a"/>
    <w:link w:val="ad"/>
    <w:uiPriority w:val="99"/>
    <w:semiHidden/>
    <w:rsid w:val="00320653"/>
    <w:pPr>
      <w:spacing w:after="0" w:line="240" w:lineRule="auto"/>
    </w:pPr>
    <w:rPr>
      <w:rFonts w:eastAsia="Times New Roman" w:cs="Times New Roman"/>
      <w:color w:val="000000"/>
      <w:sz w:val="20"/>
      <w:szCs w:val="20"/>
      <w:lang w:eastAsia="ru-RU"/>
    </w:rPr>
  </w:style>
  <w:style w:type="character" w:customStyle="1" w:styleId="ad">
    <w:name w:val="Текст сноски Знак"/>
    <w:basedOn w:val="a0"/>
    <w:link w:val="ac"/>
    <w:uiPriority w:val="99"/>
    <w:semiHidden/>
    <w:rsid w:val="00320653"/>
    <w:rPr>
      <w:rFonts w:ascii="Times New Roman" w:eastAsia="Times New Roman" w:hAnsi="Times New Roman" w:cs="Times New Roman"/>
      <w:color w:val="000000"/>
      <w:kern w:val="0"/>
      <w:sz w:val="20"/>
      <w:szCs w:val="20"/>
      <w:lang w:eastAsia="ru-RU"/>
      <w14:ligatures w14:val="none"/>
    </w:rPr>
  </w:style>
  <w:style w:type="character" w:styleId="ae">
    <w:name w:val="footnote reference"/>
    <w:basedOn w:val="a0"/>
    <w:uiPriority w:val="99"/>
    <w:semiHidden/>
    <w:rsid w:val="00320653"/>
    <w:rPr>
      <w:rFonts w:cs="Times New Roman"/>
      <w:vertAlign w:val="superscript"/>
    </w:rPr>
  </w:style>
  <w:style w:type="table" w:styleId="af">
    <w:name w:val="Table Grid"/>
    <w:basedOn w:val="a1"/>
    <w:uiPriority w:val="39"/>
    <w:rsid w:val="0032065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OC Heading"/>
    <w:basedOn w:val="1"/>
    <w:next w:val="a"/>
    <w:uiPriority w:val="39"/>
    <w:unhideWhenUsed/>
    <w:qFormat/>
    <w:rsid w:val="00320653"/>
    <w:pPr>
      <w:spacing w:before="240" w:after="0" w:line="259" w:lineRule="auto"/>
      <w:jc w:val="left"/>
      <w:outlineLvl w:val="9"/>
    </w:pPr>
    <w:rPr>
      <w:rFonts w:asciiTheme="majorHAnsi" w:hAnsiTheme="majorHAnsi"/>
      <w:b w:val="0"/>
      <w:color w:val="0F4761" w:themeColor="accent1" w:themeShade="BF"/>
      <w:sz w:val="32"/>
      <w:szCs w:val="32"/>
      <w:lang w:eastAsia="ru-RU"/>
    </w:rPr>
  </w:style>
  <w:style w:type="paragraph" w:styleId="11">
    <w:name w:val="toc 1"/>
    <w:basedOn w:val="a"/>
    <w:next w:val="a"/>
    <w:autoRedefine/>
    <w:uiPriority w:val="39"/>
    <w:unhideWhenUsed/>
    <w:rsid w:val="00320653"/>
    <w:pPr>
      <w:spacing w:after="100"/>
    </w:pPr>
  </w:style>
  <w:style w:type="character" w:styleId="af1">
    <w:name w:val="Hyperlink"/>
    <w:basedOn w:val="a0"/>
    <w:uiPriority w:val="99"/>
    <w:unhideWhenUsed/>
    <w:rsid w:val="00320653"/>
    <w:rPr>
      <w:color w:val="467886" w:themeColor="hyperlink"/>
      <w:u w:val="single"/>
    </w:rPr>
  </w:style>
  <w:style w:type="paragraph" w:styleId="af2">
    <w:name w:val="header"/>
    <w:basedOn w:val="a"/>
    <w:link w:val="af3"/>
    <w:uiPriority w:val="99"/>
    <w:unhideWhenUsed/>
    <w:rsid w:val="00320653"/>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320653"/>
    <w:rPr>
      <w:rFonts w:ascii="Times New Roman" w:hAnsi="Times New Roman"/>
      <w:kern w:val="0"/>
      <w:sz w:val="28"/>
      <w:szCs w:val="22"/>
      <w14:ligatures w14:val="none"/>
    </w:rPr>
  </w:style>
  <w:style w:type="paragraph" w:styleId="af4">
    <w:name w:val="footer"/>
    <w:basedOn w:val="a"/>
    <w:link w:val="af5"/>
    <w:uiPriority w:val="99"/>
    <w:unhideWhenUsed/>
    <w:rsid w:val="00320653"/>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320653"/>
    <w:rPr>
      <w:rFonts w:ascii="Times New Roman" w:hAnsi="Times New Roman"/>
      <w:kern w:val="0"/>
      <w:sz w:val="28"/>
      <w:szCs w:val="22"/>
      <w14:ligatures w14:val="none"/>
    </w:rPr>
  </w:style>
  <w:style w:type="character" w:styleId="af6">
    <w:name w:val="Unresolved Mention"/>
    <w:basedOn w:val="a0"/>
    <w:uiPriority w:val="99"/>
    <w:semiHidden/>
    <w:unhideWhenUsed/>
    <w:rsid w:val="00E015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823934">
      <w:bodyDiv w:val="1"/>
      <w:marLeft w:val="0"/>
      <w:marRight w:val="0"/>
      <w:marTop w:val="0"/>
      <w:marBottom w:val="0"/>
      <w:divBdr>
        <w:top w:val="none" w:sz="0" w:space="0" w:color="auto"/>
        <w:left w:val="none" w:sz="0" w:space="0" w:color="auto"/>
        <w:bottom w:val="none" w:sz="0" w:space="0" w:color="auto"/>
        <w:right w:val="none" w:sz="0" w:space="0" w:color="auto"/>
      </w:divBdr>
    </w:div>
    <w:div w:id="234049191">
      <w:bodyDiv w:val="1"/>
      <w:marLeft w:val="0"/>
      <w:marRight w:val="0"/>
      <w:marTop w:val="0"/>
      <w:marBottom w:val="0"/>
      <w:divBdr>
        <w:top w:val="none" w:sz="0" w:space="0" w:color="auto"/>
        <w:left w:val="none" w:sz="0" w:space="0" w:color="auto"/>
        <w:bottom w:val="none" w:sz="0" w:space="0" w:color="auto"/>
        <w:right w:val="none" w:sz="0" w:space="0" w:color="auto"/>
      </w:divBdr>
    </w:div>
    <w:div w:id="283198296">
      <w:bodyDiv w:val="1"/>
      <w:marLeft w:val="0"/>
      <w:marRight w:val="0"/>
      <w:marTop w:val="0"/>
      <w:marBottom w:val="0"/>
      <w:divBdr>
        <w:top w:val="none" w:sz="0" w:space="0" w:color="auto"/>
        <w:left w:val="none" w:sz="0" w:space="0" w:color="auto"/>
        <w:bottom w:val="none" w:sz="0" w:space="0" w:color="auto"/>
        <w:right w:val="none" w:sz="0" w:space="0" w:color="auto"/>
      </w:divBdr>
    </w:div>
    <w:div w:id="304747989">
      <w:bodyDiv w:val="1"/>
      <w:marLeft w:val="0"/>
      <w:marRight w:val="0"/>
      <w:marTop w:val="0"/>
      <w:marBottom w:val="0"/>
      <w:divBdr>
        <w:top w:val="none" w:sz="0" w:space="0" w:color="auto"/>
        <w:left w:val="none" w:sz="0" w:space="0" w:color="auto"/>
        <w:bottom w:val="none" w:sz="0" w:space="0" w:color="auto"/>
        <w:right w:val="none" w:sz="0" w:space="0" w:color="auto"/>
      </w:divBdr>
    </w:div>
    <w:div w:id="399255233">
      <w:bodyDiv w:val="1"/>
      <w:marLeft w:val="0"/>
      <w:marRight w:val="0"/>
      <w:marTop w:val="0"/>
      <w:marBottom w:val="0"/>
      <w:divBdr>
        <w:top w:val="none" w:sz="0" w:space="0" w:color="auto"/>
        <w:left w:val="none" w:sz="0" w:space="0" w:color="auto"/>
        <w:bottom w:val="none" w:sz="0" w:space="0" w:color="auto"/>
        <w:right w:val="none" w:sz="0" w:space="0" w:color="auto"/>
      </w:divBdr>
    </w:div>
    <w:div w:id="692537682">
      <w:bodyDiv w:val="1"/>
      <w:marLeft w:val="0"/>
      <w:marRight w:val="0"/>
      <w:marTop w:val="0"/>
      <w:marBottom w:val="0"/>
      <w:divBdr>
        <w:top w:val="none" w:sz="0" w:space="0" w:color="auto"/>
        <w:left w:val="none" w:sz="0" w:space="0" w:color="auto"/>
        <w:bottom w:val="none" w:sz="0" w:space="0" w:color="auto"/>
        <w:right w:val="none" w:sz="0" w:space="0" w:color="auto"/>
      </w:divBdr>
    </w:div>
    <w:div w:id="727729639">
      <w:bodyDiv w:val="1"/>
      <w:marLeft w:val="0"/>
      <w:marRight w:val="0"/>
      <w:marTop w:val="0"/>
      <w:marBottom w:val="0"/>
      <w:divBdr>
        <w:top w:val="none" w:sz="0" w:space="0" w:color="auto"/>
        <w:left w:val="none" w:sz="0" w:space="0" w:color="auto"/>
        <w:bottom w:val="none" w:sz="0" w:space="0" w:color="auto"/>
        <w:right w:val="none" w:sz="0" w:space="0" w:color="auto"/>
      </w:divBdr>
    </w:div>
    <w:div w:id="732971006">
      <w:bodyDiv w:val="1"/>
      <w:marLeft w:val="0"/>
      <w:marRight w:val="0"/>
      <w:marTop w:val="0"/>
      <w:marBottom w:val="0"/>
      <w:divBdr>
        <w:top w:val="none" w:sz="0" w:space="0" w:color="auto"/>
        <w:left w:val="none" w:sz="0" w:space="0" w:color="auto"/>
        <w:bottom w:val="none" w:sz="0" w:space="0" w:color="auto"/>
        <w:right w:val="none" w:sz="0" w:space="0" w:color="auto"/>
      </w:divBdr>
    </w:div>
    <w:div w:id="798186467">
      <w:bodyDiv w:val="1"/>
      <w:marLeft w:val="0"/>
      <w:marRight w:val="0"/>
      <w:marTop w:val="0"/>
      <w:marBottom w:val="0"/>
      <w:divBdr>
        <w:top w:val="none" w:sz="0" w:space="0" w:color="auto"/>
        <w:left w:val="none" w:sz="0" w:space="0" w:color="auto"/>
        <w:bottom w:val="none" w:sz="0" w:space="0" w:color="auto"/>
        <w:right w:val="none" w:sz="0" w:space="0" w:color="auto"/>
      </w:divBdr>
    </w:div>
    <w:div w:id="910971493">
      <w:bodyDiv w:val="1"/>
      <w:marLeft w:val="0"/>
      <w:marRight w:val="0"/>
      <w:marTop w:val="0"/>
      <w:marBottom w:val="0"/>
      <w:divBdr>
        <w:top w:val="none" w:sz="0" w:space="0" w:color="auto"/>
        <w:left w:val="none" w:sz="0" w:space="0" w:color="auto"/>
        <w:bottom w:val="none" w:sz="0" w:space="0" w:color="auto"/>
        <w:right w:val="none" w:sz="0" w:space="0" w:color="auto"/>
      </w:divBdr>
    </w:div>
    <w:div w:id="924076756">
      <w:bodyDiv w:val="1"/>
      <w:marLeft w:val="0"/>
      <w:marRight w:val="0"/>
      <w:marTop w:val="0"/>
      <w:marBottom w:val="0"/>
      <w:divBdr>
        <w:top w:val="none" w:sz="0" w:space="0" w:color="auto"/>
        <w:left w:val="none" w:sz="0" w:space="0" w:color="auto"/>
        <w:bottom w:val="none" w:sz="0" w:space="0" w:color="auto"/>
        <w:right w:val="none" w:sz="0" w:space="0" w:color="auto"/>
      </w:divBdr>
    </w:div>
    <w:div w:id="1108311745">
      <w:bodyDiv w:val="1"/>
      <w:marLeft w:val="0"/>
      <w:marRight w:val="0"/>
      <w:marTop w:val="0"/>
      <w:marBottom w:val="0"/>
      <w:divBdr>
        <w:top w:val="none" w:sz="0" w:space="0" w:color="auto"/>
        <w:left w:val="none" w:sz="0" w:space="0" w:color="auto"/>
        <w:bottom w:val="none" w:sz="0" w:space="0" w:color="auto"/>
        <w:right w:val="none" w:sz="0" w:space="0" w:color="auto"/>
      </w:divBdr>
    </w:div>
    <w:div w:id="1133712175">
      <w:bodyDiv w:val="1"/>
      <w:marLeft w:val="0"/>
      <w:marRight w:val="0"/>
      <w:marTop w:val="0"/>
      <w:marBottom w:val="0"/>
      <w:divBdr>
        <w:top w:val="none" w:sz="0" w:space="0" w:color="auto"/>
        <w:left w:val="none" w:sz="0" w:space="0" w:color="auto"/>
        <w:bottom w:val="none" w:sz="0" w:space="0" w:color="auto"/>
        <w:right w:val="none" w:sz="0" w:space="0" w:color="auto"/>
      </w:divBdr>
    </w:div>
    <w:div w:id="1202783688">
      <w:bodyDiv w:val="1"/>
      <w:marLeft w:val="0"/>
      <w:marRight w:val="0"/>
      <w:marTop w:val="0"/>
      <w:marBottom w:val="0"/>
      <w:divBdr>
        <w:top w:val="none" w:sz="0" w:space="0" w:color="auto"/>
        <w:left w:val="none" w:sz="0" w:space="0" w:color="auto"/>
        <w:bottom w:val="none" w:sz="0" w:space="0" w:color="auto"/>
        <w:right w:val="none" w:sz="0" w:space="0" w:color="auto"/>
      </w:divBdr>
    </w:div>
    <w:div w:id="1250382299">
      <w:bodyDiv w:val="1"/>
      <w:marLeft w:val="0"/>
      <w:marRight w:val="0"/>
      <w:marTop w:val="0"/>
      <w:marBottom w:val="0"/>
      <w:divBdr>
        <w:top w:val="none" w:sz="0" w:space="0" w:color="auto"/>
        <w:left w:val="none" w:sz="0" w:space="0" w:color="auto"/>
        <w:bottom w:val="none" w:sz="0" w:space="0" w:color="auto"/>
        <w:right w:val="none" w:sz="0" w:space="0" w:color="auto"/>
      </w:divBdr>
    </w:div>
    <w:div w:id="1273585949">
      <w:bodyDiv w:val="1"/>
      <w:marLeft w:val="0"/>
      <w:marRight w:val="0"/>
      <w:marTop w:val="0"/>
      <w:marBottom w:val="0"/>
      <w:divBdr>
        <w:top w:val="none" w:sz="0" w:space="0" w:color="auto"/>
        <w:left w:val="none" w:sz="0" w:space="0" w:color="auto"/>
        <w:bottom w:val="none" w:sz="0" w:space="0" w:color="auto"/>
        <w:right w:val="none" w:sz="0" w:space="0" w:color="auto"/>
      </w:divBdr>
    </w:div>
    <w:div w:id="1295015941">
      <w:bodyDiv w:val="1"/>
      <w:marLeft w:val="0"/>
      <w:marRight w:val="0"/>
      <w:marTop w:val="0"/>
      <w:marBottom w:val="0"/>
      <w:divBdr>
        <w:top w:val="none" w:sz="0" w:space="0" w:color="auto"/>
        <w:left w:val="none" w:sz="0" w:space="0" w:color="auto"/>
        <w:bottom w:val="none" w:sz="0" w:space="0" w:color="auto"/>
        <w:right w:val="none" w:sz="0" w:space="0" w:color="auto"/>
      </w:divBdr>
    </w:div>
    <w:div w:id="1309699722">
      <w:bodyDiv w:val="1"/>
      <w:marLeft w:val="0"/>
      <w:marRight w:val="0"/>
      <w:marTop w:val="0"/>
      <w:marBottom w:val="0"/>
      <w:divBdr>
        <w:top w:val="none" w:sz="0" w:space="0" w:color="auto"/>
        <w:left w:val="none" w:sz="0" w:space="0" w:color="auto"/>
        <w:bottom w:val="none" w:sz="0" w:space="0" w:color="auto"/>
        <w:right w:val="none" w:sz="0" w:space="0" w:color="auto"/>
      </w:divBdr>
    </w:div>
    <w:div w:id="1348798434">
      <w:bodyDiv w:val="1"/>
      <w:marLeft w:val="0"/>
      <w:marRight w:val="0"/>
      <w:marTop w:val="0"/>
      <w:marBottom w:val="0"/>
      <w:divBdr>
        <w:top w:val="none" w:sz="0" w:space="0" w:color="auto"/>
        <w:left w:val="none" w:sz="0" w:space="0" w:color="auto"/>
        <w:bottom w:val="none" w:sz="0" w:space="0" w:color="auto"/>
        <w:right w:val="none" w:sz="0" w:space="0" w:color="auto"/>
      </w:divBdr>
    </w:div>
    <w:div w:id="1401712116">
      <w:bodyDiv w:val="1"/>
      <w:marLeft w:val="0"/>
      <w:marRight w:val="0"/>
      <w:marTop w:val="0"/>
      <w:marBottom w:val="0"/>
      <w:divBdr>
        <w:top w:val="none" w:sz="0" w:space="0" w:color="auto"/>
        <w:left w:val="none" w:sz="0" w:space="0" w:color="auto"/>
        <w:bottom w:val="none" w:sz="0" w:space="0" w:color="auto"/>
        <w:right w:val="none" w:sz="0" w:space="0" w:color="auto"/>
      </w:divBdr>
    </w:div>
    <w:div w:id="1435976297">
      <w:bodyDiv w:val="1"/>
      <w:marLeft w:val="0"/>
      <w:marRight w:val="0"/>
      <w:marTop w:val="0"/>
      <w:marBottom w:val="0"/>
      <w:divBdr>
        <w:top w:val="none" w:sz="0" w:space="0" w:color="auto"/>
        <w:left w:val="none" w:sz="0" w:space="0" w:color="auto"/>
        <w:bottom w:val="none" w:sz="0" w:space="0" w:color="auto"/>
        <w:right w:val="none" w:sz="0" w:space="0" w:color="auto"/>
      </w:divBdr>
    </w:div>
    <w:div w:id="1540557297">
      <w:bodyDiv w:val="1"/>
      <w:marLeft w:val="0"/>
      <w:marRight w:val="0"/>
      <w:marTop w:val="0"/>
      <w:marBottom w:val="0"/>
      <w:divBdr>
        <w:top w:val="none" w:sz="0" w:space="0" w:color="auto"/>
        <w:left w:val="none" w:sz="0" w:space="0" w:color="auto"/>
        <w:bottom w:val="none" w:sz="0" w:space="0" w:color="auto"/>
        <w:right w:val="none" w:sz="0" w:space="0" w:color="auto"/>
      </w:divBdr>
    </w:div>
    <w:div w:id="1549023639">
      <w:bodyDiv w:val="1"/>
      <w:marLeft w:val="0"/>
      <w:marRight w:val="0"/>
      <w:marTop w:val="0"/>
      <w:marBottom w:val="0"/>
      <w:divBdr>
        <w:top w:val="none" w:sz="0" w:space="0" w:color="auto"/>
        <w:left w:val="none" w:sz="0" w:space="0" w:color="auto"/>
        <w:bottom w:val="none" w:sz="0" w:space="0" w:color="auto"/>
        <w:right w:val="none" w:sz="0" w:space="0" w:color="auto"/>
      </w:divBdr>
    </w:div>
    <w:div w:id="1550796996">
      <w:bodyDiv w:val="1"/>
      <w:marLeft w:val="0"/>
      <w:marRight w:val="0"/>
      <w:marTop w:val="0"/>
      <w:marBottom w:val="0"/>
      <w:divBdr>
        <w:top w:val="none" w:sz="0" w:space="0" w:color="auto"/>
        <w:left w:val="none" w:sz="0" w:space="0" w:color="auto"/>
        <w:bottom w:val="none" w:sz="0" w:space="0" w:color="auto"/>
        <w:right w:val="none" w:sz="0" w:space="0" w:color="auto"/>
      </w:divBdr>
    </w:div>
    <w:div w:id="1562670548">
      <w:bodyDiv w:val="1"/>
      <w:marLeft w:val="0"/>
      <w:marRight w:val="0"/>
      <w:marTop w:val="0"/>
      <w:marBottom w:val="0"/>
      <w:divBdr>
        <w:top w:val="none" w:sz="0" w:space="0" w:color="auto"/>
        <w:left w:val="none" w:sz="0" w:space="0" w:color="auto"/>
        <w:bottom w:val="none" w:sz="0" w:space="0" w:color="auto"/>
        <w:right w:val="none" w:sz="0" w:space="0" w:color="auto"/>
      </w:divBdr>
    </w:div>
    <w:div w:id="1726831458">
      <w:bodyDiv w:val="1"/>
      <w:marLeft w:val="0"/>
      <w:marRight w:val="0"/>
      <w:marTop w:val="0"/>
      <w:marBottom w:val="0"/>
      <w:divBdr>
        <w:top w:val="none" w:sz="0" w:space="0" w:color="auto"/>
        <w:left w:val="none" w:sz="0" w:space="0" w:color="auto"/>
        <w:bottom w:val="none" w:sz="0" w:space="0" w:color="auto"/>
        <w:right w:val="none" w:sz="0" w:space="0" w:color="auto"/>
      </w:divBdr>
    </w:div>
    <w:div w:id="1754622344">
      <w:bodyDiv w:val="1"/>
      <w:marLeft w:val="0"/>
      <w:marRight w:val="0"/>
      <w:marTop w:val="0"/>
      <w:marBottom w:val="0"/>
      <w:divBdr>
        <w:top w:val="none" w:sz="0" w:space="0" w:color="auto"/>
        <w:left w:val="none" w:sz="0" w:space="0" w:color="auto"/>
        <w:bottom w:val="none" w:sz="0" w:space="0" w:color="auto"/>
        <w:right w:val="none" w:sz="0" w:space="0" w:color="auto"/>
      </w:divBdr>
    </w:div>
    <w:div w:id="1802336894">
      <w:bodyDiv w:val="1"/>
      <w:marLeft w:val="0"/>
      <w:marRight w:val="0"/>
      <w:marTop w:val="0"/>
      <w:marBottom w:val="0"/>
      <w:divBdr>
        <w:top w:val="none" w:sz="0" w:space="0" w:color="auto"/>
        <w:left w:val="none" w:sz="0" w:space="0" w:color="auto"/>
        <w:bottom w:val="none" w:sz="0" w:space="0" w:color="auto"/>
        <w:right w:val="none" w:sz="0" w:space="0" w:color="auto"/>
      </w:divBdr>
    </w:div>
    <w:div w:id="1854682536">
      <w:bodyDiv w:val="1"/>
      <w:marLeft w:val="0"/>
      <w:marRight w:val="0"/>
      <w:marTop w:val="0"/>
      <w:marBottom w:val="0"/>
      <w:divBdr>
        <w:top w:val="none" w:sz="0" w:space="0" w:color="auto"/>
        <w:left w:val="none" w:sz="0" w:space="0" w:color="auto"/>
        <w:bottom w:val="none" w:sz="0" w:space="0" w:color="auto"/>
        <w:right w:val="none" w:sz="0" w:space="0" w:color="auto"/>
      </w:divBdr>
    </w:div>
    <w:div w:id="1972319223">
      <w:bodyDiv w:val="1"/>
      <w:marLeft w:val="0"/>
      <w:marRight w:val="0"/>
      <w:marTop w:val="0"/>
      <w:marBottom w:val="0"/>
      <w:divBdr>
        <w:top w:val="none" w:sz="0" w:space="0" w:color="auto"/>
        <w:left w:val="none" w:sz="0" w:space="0" w:color="auto"/>
        <w:bottom w:val="none" w:sz="0" w:space="0" w:color="auto"/>
        <w:right w:val="none" w:sz="0" w:space="0" w:color="auto"/>
      </w:divBdr>
    </w:div>
    <w:div w:id="2063551879">
      <w:bodyDiv w:val="1"/>
      <w:marLeft w:val="0"/>
      <w:marRight w:val="0"/>
      <w:marTop w:val="0"/>
      <w:marBottom w:val="0"/>
      <w:divBdr>
        <w:top w:val="none" w:sz="0" w:space="0" w:color="auto"/>
        <w:left w:val="none" w:sz="0" w:space="0" w:color="auto"/>
        <w:bottom w:val="none" w:sz="0" w:space="0" w:color="auto"/>
        <w:right w:val="none" w:sz="0" w:space="0" w:color="auto"/>
      </w:divBdr>
    </w:div>
    <w:div w:id="2134515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C19C4-A6E5-47EF-9300-B818BFC42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23</Pages>
  <Words>5260</Words>
  <Characters>29983</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Даня Хасанов</dc:creator>
  <cp:keywords/>
  <dc:description/>
  <cp:lastModifiedBy>Даня Хасанов</cp:lastModifiedBy>
  <cp:revision>6</cp:revision>
  <dcterms:created xsi:type="dcterms:W3CDTF">2026-05-01T22:32:00Z</dcterms:created>
  <dcterms:modified xsi:type="dcterms:W3CDTF">2026-05-02T11:29:00Z</dcterms:modified>
</cp:coreProperties>
</file>