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17365D"/>
          <w:sz w:val="50"/>
        </w:rPr>
        <w:t>NEXT SUPERVISION</w:t>
        <w:br/>
        <w:t>DEVELOPMENT STATUS</w:t>
      </w:r>
    </w:p>
    <w:p>
      <w:pPr>
        <w:jc w:val="center"/>
      </w:pPr>
      <w:r>
        <w:rPr>
          <w:rFonts w:ascii="Arial" w:hAnsi="Arial"/>
          <w:color w:val="2F5597"/>
          <w:sz w:val="28"/>
        </w:rPr>
        <w:t>Intent-Aware Logic-Constrained Marketing Decision Support</w:t>
      </w:r>
    </w:p>
    <w:p>
      <w:pPr>
        <w:jc w:val="center"/>
      </w:pPr>
      <w:r>
        <w:rPr>
          <w:rFonts w:ascii="Arial" w:hAnsi="Arial"/>
          <w:color w:val="666666"/>
          <w:sz w:val="20"/>
        </w:rPr>
        <w:t>Prepared for supervisor discussion  |  5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7365D"/>
                <w:sz w:val="22"/>
              </w:rPr>
              <w:t>Bottom line: the core research prototype, safeguards, baselines, feasibility filtering and technical rerun are developed. The project is not yet ready to be called fully complete because human-reliance study evidence and a clean final source freeze remain unresolved.</w:t>
            </w:r>
          </w:p>
        </w:tc>
      </w:tr>
    </w:tbl>
    <w:p/>
    <w:p>
      <w:pPr>
        <w:pStyle w:val="Heading2"/>
        <w:keepNext/>
      </w:pPr>
      <w:r>
        <w:t>Meeting objective</w:t>
      </w:r>
    </w:p>
    <w:p>
      <w:r>
        <w:t>Confirm that the implemented action-level research scope is acceptable, confirm that the independent-review record is sufficient, confirm the frozen validation-derived selective policy, and obtain the official ethics/participant-study reference before finalising Chapters 3–5.</w:t>
      </w:r>
    </w:p>
    <w:p>
      <w:r>
        <w:br w:type="page"/>
      </w:r>
    </w:p>
    <w:p>
      <w:pPr>
        <w:pStyle w:val="Heading1"/>
        <w:keepNext/>
      </w:pPr>
      <w:r>
        <w:t>1. Executive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Current position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Core prototype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CampaignNet–ActionNet evidence, intent handling, safeguards, calibrated confidence, explanation and human-review workflow are implemented.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Benchmark and action sets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125 audited cases; acceptable, conditional and unacceptable action sets pass partition checks under the approved structured review protocol.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Safeguards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14 rules classified: 6 hard exclusions and 8 soft score adjustments; feasibility filter and reachable no-safe state implemented.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Technical evaluation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Baselines, ablations and three-seed confirmatory rerun generated; 44 backend tests and frontend build passed.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Independent review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Independent review was completed by Sherlynn Poh, an independent marketing reviewer who holds a Bachelor's degree in Marketing. A dated confirmation should be retained with the thesis evidence.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Selective decision policy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Validation-only thresholds now provide 36.84% validation coverage and 47.37% held-out test coverage while preserving zero observed automatic conflicts.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Human reliance evaluation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Interface and measures are specified; participant metrics are not yet complete and the official approval reference is not recorded.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E4D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NOT 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Final reproducibility freeze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Latest rerun exists, but the working tree has 92 modified or untracked entries and the existing v3 tag predates the changes.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E4D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NOT COMPLETE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What I can accurately claim now</w:t>
      </w:r>
    </w:p>
    <w:p>
      <w:pPr>
        <w:pStyle w:val="ListBullet"/>
        <w:spacing w:after="60"/>
      </w:pPr>
      <w:r>
        <w:t>The proposed method reduced the observed logical-conflict rate from 10.53% for the unconstrained AI comparator to 0% on the 19-case held-out test partition.</w:t>
      </w:r>
    </w:p>
    <w:p>
      <w:pPr>
        <w:pStyle w:val="ListBullet"/>
        <w:spacing w:after="60"/>
      </w:pPr>
      <w:r>
        <w:t>The full method achieved 82.46% accuracy and Macro F1 of 0.8279 in the current three-seed technical evaluation.</w:t>
      </w:r>
    </w:p>
    <w:p>
      <w:pPr>
        <w:pStyle w:val="ListBullet"/>
        <w:spacing w:after="60"/>
      </w:pPr>
      <w:r>
        <w:t>The unconstrained AI achieved higher accuracy and Macro F1, so the contribution is safer, traceable decision support—not superior predictive performance.</w:t>
      </w:r>
    </w:p>
    <w:p>
      <w:pPr>
        <w:pStyle w:val="ListBullet"/>
        <w:spacing w:after="60"/>
      </w:pPr>
      <w:r>
        <w:t>These are small-sample technical results, not proof of campaign business success or population-level effectiveness.</w:t>
      </w:r>
    </w:p>
    <w:p>
      <w:pPr>
        <w:pStyle w:val="Heading2"/>
        <w:keepNext/>
      </w:pPr>
      <w:r>
        <w:t>What I must not claim yet</w:t>
      </w:r>
    </w:p>
    <w:p>
      <w:pPr>
        <w:pStyle w:val="ListBullet"/>
        <w:spacing w:after="60"/>
      </w:pPr>
      <w:r>
        <w:t>That the reviewer is a domain expert or that signed evidence exists until her dated confirmation has been retained.</w:t>
      </w:r>
    </w:p>
    <w:p>
      <w:pPr>
        <w:pStyle w:val="ListBullet"/>
        <w:spacing w:after="60"/>
      </w:pPr>
      <w:r>
        <w:t>That the observed 47.37% held-out coverage generalises beyond the current 19-case test partition.</w:t>
      </w:r>
    </w:p>
    <w:p>
      <w:pPr>
        <w:pStyle w:val="ListBullet"/>
        <w:spacing w:after="60"/>
      </w:pPr>
      <w:r>
        <w:t>That explanations improve human reliance; no completed participant-study evidence is recorded.</w:t>
      </w:r>
    </w:p>
    <w:p>
      <w:pPr>
        <w:pStyle w:val="ListBullet"/>
        <w:spacing w:after="60"/>
      </w:pPr>
      <w:r>
        <w:t>That the current source is a final frozen release; it is not yet clean or newly tagged.</w:t>
      </w:r>
    </w:p>
    <w:p>
      <w:r>
        <w:br w:type="page"/>
      </w:r>
    </w:p>
    <w:p>
      <w:pPr>
        <w:pStyle w:val="Heading1"/>
        <w:keepNext/>
      </w:pPr>
      <w:r>
        <w:t>2. Development status against the individual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Analysis item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design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Developed/evidence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Remaining action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Recommendation unit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Action recommendation: Increase, Maintain, Reduce or Investigate.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Internally consistent in code, benchmark and evaluation.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Analysis proposed a channel-first unit. Obtain explicit scope confirmation for the action-level unit.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DECISION NEEDED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Decision Benchmark Package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125 cases with intent, performance evidence, reference action and action sets.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Core benchmark and 70:15:15 chronological split exist.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Original source does not provide complete business size, maturity, budget and operational-constraint fields for every case; document this limitation.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PARTIAL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Reference action sets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Acceptable, conditionally acceptable and unacceptable sets.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125 valid, non-overlapping four-action partitions.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Independent review is complete; retain Sherlynn Poh's dated confirmation and record any disagreements or corrections.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Business intent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Survival, Retention and Growth; intent used by ActionNet and safeguards.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Three intents are implemented.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Mixed intent is not modelled; unresolved mixed objectives are routed to manager review.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PARTIAL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Safeguard audit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14-rule register with rationale, weight, priority and hard/soft classification.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 hard and 8 soft rules documented and used.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Retain the independent review record and any documented corrections before the final freeze.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COMPLETE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Missing-data safety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Missing evidence must not be treated as safe.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Evidence sufficiency and missing-budget escalation are implemented.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Retain tests and report wording showing unknown is not converted to zero/safe.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COMPLETE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Deterministic baselines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Intent-only and weighted deterministic comparators.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Both implemented and rerun.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Keep canonical action order and parity controls identical across exports and metrics.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COMPLETE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Unconstrained AI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Learned predictor without logic constraints.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Implemented as the without-rules comparator; CampaignNet-only, ActionNet-only and fused branch ablations also exist.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Add a concise error taxonomy for its unsafe/conflicting recommendations.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COMPLETE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Logic-constrained method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Hard feasibility removal plus soft score adjustment; original and final decisions traceable.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Hard-rejected and feasible actions, traces and no-safe outcome are persisted.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Explain that Investigate is a manual-review fallback, not an executable marketing action.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COMPLETE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Calibration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Validation-only temperature scaling and descriptive calibration metrics.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Implemented; temperatures and five-bin ECE are recorded.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Validation has no Increase cases; retain profile-specific, small-sample qualification and do not claim class-wide calibration.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PARTIAL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Selective review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Recommend, Check Advised, Human Review Required and No Safe.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four states are reachable. The frozen policy yields 36.84% validation coverage and 47.37% held-out test coverage.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Keep the 0.35 confidence and 0.02 margin thresholds frozen and report the small-sample coverage, accepted accuracy and conflict rate.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Faithful explanation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Driver–Implication–Action–Caveat with intent metadata and rule traces.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Structured explanation generation is implemented.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Complete formal faithfulness checks: source-fact support, triggered-rule consistency, perturbation and unused-variable audit.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PARTIAL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Human reliance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Measure acceptance/rejection, willingness to act and appropriate reliance.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Study design and UI support exist.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Participant study, ethics reference, clustered analysis and results are not yet complete.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E4D6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NOT COMPLETE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Reproducibility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Hashes, run IDs, environment, seeds and source version.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Run metadata and hashes exist for R002.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Clean repository, commit intended files, create a new tag and rerun from that exact tag.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PARTIAL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Required next-meeting deliverables</w:t>
      </w:r>
    </w:p>
    <w:p>
      <w:r>
        <w:t>The individual analysis explicitly asks for five items at the next supervision meeting. Their current status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Required item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Current evidence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Meeting position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 14-item safeguard register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outputs/supervision_evidence/safeguard_register.csv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Bring the register and explain the 6 hard / 8 soft classification.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At least 30 cases with reference action sets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outputs/supervision_evidence/action_set_review_approved_protocol.csv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125 cases are available and pass set-partition validation.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Independent reviewer results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Manifest: independent_review_complete = true; reviewer: Sherlynn Poh; qualification: Bachelor's degree in Marketing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Bring the independent review record and retain a dated signature or email confirmation.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First comparison: intent-only, weighted deterministic, unconstrained AI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outputs/supervision_evidence/baseline_comparison.csv and confirmatory metrics.csv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Present the comparison and its limitations.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COMPLETE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At least 10 correctly blocked AI cases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outputs/supervision_evidence/safeguard_intervention_audit.csv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All 13 interventions satisfy the frozen action-set criterion. The unconstrained action is unacceptable and the constrained outcome is acceptable or conditional; valid no-safe outcomes retain Investigate as a manual fallback. Exact primary-label agreement is 0 of 13 and is reported separately.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r>
              <w:rPr>
                <w:b/>
              </w:rPr>
              <w:t>COMPLETE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Current technical results for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Configuration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Macro F1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Logical conflict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ECE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Intent-only deterministic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0.6842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0.5938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0.1053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0.3158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Weighted deterministic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0.5789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0.5071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0.1053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0.0620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Unconstrained AI (without rules)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0.9298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0.9308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0.1053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0.6482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Full proposed method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0.8246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0.8279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0.0000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0.5187</w:t>
            </w:r>
          </w:p>
        </w:tc>
      </w:tr>
    </w:tbl>
    <w:p>
      <w:pPr>
        <w:spacing w:after="0"/>
      </w:pPr>
    </w:p>
    <w:p>
      <w:r>
        <w:t>Interpretation: the logic-constrained method trades some predictive performance for zero observed logical conflicts. Calibration remains weak and profile-specific; these values must be presented as descriptive evidence from a 19-case held-out partition.</w:t>
      </w:r>
    </w:p>
    <w:p>
      <w:pPr>
        <w:pStyle w:val="Heading2"/>
        <w:keepNext/>
      </w:pPr>
      <w:r>
        <w:t>Selective-policy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Held-out count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Recommend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Nine held-out cases met the frozen automatic-recommendation thresholds.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Check Advised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Recommendation shown with a caution/check prompt.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Human Review Required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8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Manager judgment required before action.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Safe Recommendation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64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All executable actions rejected; Investigate is a manual fallback.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What to tell the supervisor</w:t>
      </w:r>
    </w:p>
    <w:p>
      <w:pPr>
        <w:pStyle w:val="Heading2"/>
        <w:keepNext/>
      </w:pPr>
      <w:r>
        <w:t>Suggested two-minute update</w:t>
      </w:r>
    </w:p>
    <w:p>
      <w:pPr>
        <w:spacing w:after="160"/>
        <w:ind w:left="360" w:right="360"/>
      </w:pPr>
      <w:r>
        <w:t>Sir, I followed the development sequence in the individual analysis. I now have a 125-case benchmark with structured acceptable, conditional and unacceptable action sets; a complete 14-rule safeguard register; intent-only, weighted deterministic and unconstrained AI comparators; and the full logic-constrained method. Six safeguards operate as hard feasibility exclusions and eight remain soft score adjustments. The system records hard-rejected and feasible actions and can reach a genuine No Safe Recommendation state.</w:t>
      </w:r>
    </w:p>
    <w:p>
      <w:pPr>
        <w:spacing w:after="160"/>
        <w:ind w:left="360" w:right="360"/>
      </w:pPr>
      <w:r>
        <w:t>The latest technical rerun used the chronological 87/19/19 split and three seeds. The full method achieved 82.46% accuracy and Macro F1 of 0.8279, while reducing the observed logical-conflict rate to zero. The unconstrained AI was more accurate, so I am not claiming predictive superiority; the contribution is constraint compliance, traceability and safer review routing.</w:t>
      </w:r>
    </w:p>
    <w:p>
      <w:pPr>
        <w:spacing w:after="160"/>
        <w:ind w:left="360" w:right="360"/>
      </w:pPr>
      <w:r>
        <w:t>The independent review has now been completed by Sherlynn Poh, who holds a Bachelor's degree in Marketing and was not involved in the system design, implementation or original annotation. The validation-derived selective policy is also implemented: it provides 36.84% validation coverage and 47.37% held-out test coverage with no observed automatic conflicts. Two decisions remain. First, the implemented recommendation unit is an operational action—Increase, Maintain, Reduce or Investigate—rather than a primary channel. Second, the human-reliance study and official approval reference are not yet recorded. I would like to confirm how these should be resolved before I freeze the final code and update Chapters 3 to 5.</w:t>
      </w:r>
    </w:p>
    <w:p>
      <w:pPr>
        <w:pStyle w:val="Heading2"/>
        <w:keepNext/>
      </w:pPr>
      <w:r>
        <w:t>Questions requiring an explicit answer</w:t>
      </w:r>
    </w:p>
    <w:p>
      <w:pPr>
        <w:pStyle w:val="ListNumber"/>
        <w:spacing w:after="80"/>
      </w:pPr>
      <w:r>
        <w:t>Is the action-level recommendation unit (Increase, Maintain, Reduce or Investigate) approved as the final project scope, or must the system be changed to recommend a primary channel and configuration?</w:t>
      </w:r>
    </w:p>
    <w:p>
      <w:pPr>
        <w:pStyle w:val="ListNumber"/>
        <w:spacing w:after="80"/>
      </w:pPr>
      <w:r>
        <w:t>Is the independent-review evidence format sufficient if I include Sherlynn Poh's qualification, scope, review procedure, disagreements or corrections, and dated confirmation in the appendix?</w:t>
      </w:r>
    </w:p>
    <w:p>
      <w:pPr>
        <w:pStyle w:val="ListNumber"/>
        <w:spacing w:after="80"/>
      </w:pPr>
      <w:r>
        <w:t>May I report the frozen policy's 36.84% validation coverage and 47.37% held-out test coverage as descriptive small-sample evidence, without claiming population-level coverage?</w:t>
      </w:r>
    </w:p>
    <w:p>
      <w:pPr>
        <w:pStyle w:val="ListNumber"/>
        <w:spacing w:after="80"/>
      </w:pPr>
      <w:r>
        <w:t>May mixed-intent cases remain outside the model and be routed to human review, or must a multi-intent policy be implemented?</w:t>
      </w:r>
    </w:p>
    <w:p>
      <w:pPr>
        <w:pStyle w:val="ListNumber"/>
        <w:spacing w:after="80"/>
      </w:pPr>
      <w:r>
        <w:t>What exact TAR UMT approval/exemption reference, date and appendix evidence should be inserted before participant results are reported?</w:t>
      </w:r>
    </w:p>
    <w:p>
      <w:pPr>
        <w:pStyle w:val="Heading2"/>
        <w:keepNext/>
      </w:pPr>
      <w:r>
        <w:t>Points to volunteer without being asked</w:t>
      </w:r>
    </w:p>
    <w:p>
      <w:pPr>
        <w:pStyle w:val="ListBullet"/>
        <w:spacing w:after="60"/>
      </w:pPr>
      <w:r>
        <w:t>The unconstrained AI currently performs better on accuracy, so the thesis should frame the trade-off transparently.</w:t>
      </w:r>
    </w:p>
    <w:p>
      <w:pPr>
        <w:pStyle w:val="ListBullet"/>
        <w:spacing w:after="60"/>
      </w:pPr>
      <w:r>
        <w:t>The calibration validation subset has no Increase cases; all calibration claims are aggregate and profile-specific.</w:t>
      </w:r>
    </w:p>
    <w:p>
      <w:pPr>
        <w:pStyle w:val="ListBullet"/>
        <w:spacing w:after="60"/>
      </w:pPr>
      <w:r>
        <w:t>Thirteen interventions satisfy the frozen action-set correctness criterion. Exact primary-label agreement remains zero and is reported only as a stricter secondary diagnostic.</w:t>
      </w:r>
    </w:p>
    <w:p>
      <w:pPr>
        <w:pStyle w:val="ListBullet"/>
        <w:spacing w:after="60"/>
      </w:pPr>
      <w:r>
        <w:t>The latest code is not yet a final source freeze; a new commit/tag and rerun will follow only after the above decisions.</w:t>
      </w:r>
    </w:p>
    <w:p>
      <w:pPr>
        <w:pStyle w:val="Heading1"/>
        <w:keepNext/>
      </w:pPr>
      <w:r>
        <w:t>5. Remaining work in recommended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Required output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Obtain recommendation-unit scope decision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Record whether the action-level recommendation unit is approved as the final project scope.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Before code/report changes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File review documentation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Insert the actual review date and retain Sherlynn Poh's signed form or email confirmation, including the review scope, procedure, disagreements, corrections and adjudication.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Research validity gate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Preserve selective policy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Keep the validation-derived 0.35 confidence and 0.02 margin thresholds frozen; retain the case audit and report validation and held-out outcomes separately.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Technical evidence control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 faithfulness audit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Check that every explanation statement is supported by case input/model evidence and triggered safeguards; add perturbation and unused-variable checks.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Before final evaluation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Complete ethics and reliance study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Insert the official approval/exemption reference and conduct/report participant evaluation only within the approved scope.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Human-study gate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Update thesis and figures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Align Chapters 3–5, diagrams, algorithms, screenshots and terminology with the final implementation and decisions.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Documentation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Create final freeze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Remove temporary files, review changes, run tests/build, commit, tag a new freeze and rerun all experiments from that exact tag.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Final reproducibility gate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Package final evidence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Export metrics, reliability table, risk–coverage curve, failure cases, hashes, environment capture and the evidence manifest.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Submission evidence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Definition of complete</w:t>
      </w:r>
    </w:p>
    <w:p>
      <w:r>
        <w:t>The development can be described as complete only when the final scope is approved, review provenance is defensible, the selective-policy evidence is reported with its small-sample limitation, participant/ethics evidence is properly recorded, the thesis matches the as-built system, and a clean tagged rerun reproduces the submitted results.</w:t>
      </w:r>
    </w:p>
    <w:p>
      <w:pPr>
        <w:pStyle w:val="Heading1"/>
        <w:keepNext/>
      </w:pPr>
      <w:r>
        <w:t>6. Evidence to bring to the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Repository location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Safeguard register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outputs/supervision_evidence/safeguard_register.csv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14 rules; hard/soft classification and rationale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Action-set review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outputs/supervision_evidence/action_set_review_approved_protocol.csv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125 acceptable/conditional/unacceptable partitions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Intervention audit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outputs/supervision_evidence/safeguard_intervention_audit.csv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Original action, exclusions, constrained outcome, set-based correctness and exact primary-label agreement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Selective-policy summary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outputs/supervision_evidence/selective_policy_summary.csv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Coverage and review-state counts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Baseline comparison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outputs/supervision_evidence/baseline_comparison.csv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Requested deterministic and unconstrained comparisons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Confirmatory metrics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outputs/confirmatory_evaluation/metrics.csv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Baselines, branch ablations, proposed method and ablations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Run metadata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outputs/confirmatory_evaluation/run_metadata.json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Run ID, split, seeds, hashes, versions and calibration 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Evidence manifest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outputs/supervision_evidence/evidence_manifest.json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Completion flags, limitations and provenance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Independent review record</w:t>
            </w:r>
          </w:p>
        </w:tc>
        <w:tc>
          <w:tcPr>
            <w:tcW w:type="dxa" w:w="55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outputs/supervision_evidence/independent_review_record.md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Reviewer identity, qualification, independence, scope and confirmation fields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Evidence integrity note</w:t>
      </w:r>
    </w:p>
    <w:p>
      <w:r>
        <w:t>The evidence package records Sherlynn Poh as the independent marketing reviewer. She holds a Bachelor's degree in Marketing and should not be described as a domain expert unless additional qualifications support that term. Her actual review date and signed or email confirmation must be retained with the thesis evidence.</w:t>
      </w:r>
    </w:p>
    <w:p>
      <w:pPr>
        <w:pStyle w:val="Heading1"/>
        <w:keepNext/>
      </w:pPr>
      <w:r>
        <w:t>7. Concise meeting checklist</w:t>
      </w:r>
    </w:p>
    <w:p>
      <w:pPr>
        <w:pStyle w:val="ListBullet"/>
        <w:spacing w:after="60"/>
      </w:pPr>
      <w:r>
        <w:t>Open the five next-meeting evidence files before the discussion.</w:t>
      </w:r>
    </w:p>
    <w:p>
      <w:pPr>
        <w:pStyle w:val="ListBullet"/>
        <w:spacing w:after="60"/>
      </w:pPr>
      <w:r>
        <w:t>Lead with the completed benchmark, safeguard register and baseline rerun.</w:t>
      </w:r>
    </w:p>
    <w:p>
      <w:pPr>
        <w:pStyle w:val="ListBullet"/>
        <w:spacing w:after="60"/>
      </w:pPr>
      <w:r>
        <w:t>Report validation and held-out selective coverage together with the performance–safety trade-off.</w:t>
      </w:r>
    </w:p>
    <w:p>
      <w:pPr>
        <w:pStyle w:val="ListBullet"/>
        <w:spacing w:after="60"/>
      </w:pPr>
      <w:r>
        <w:t>Ask for a decision on the final recommendation unit.</w:t>
      </w:r>
    </w:p>
    <w:p>
      <w:pPr>
        <w:pStyle w:val="ListBullet"/>
        <w:spacing w:after="60"/>
      </w:pPr>
      <w:r>
        <w:t>Record the supervisor’s exact wording and approval decisions immediately after the meeting.</w:t>
      </w:r>
    </w:p>
    <w:p>
      <w:pPr>
        <w:pStyle w:val="ListBullet"/>
        <w:spacing w:after="60"/>
      </w:pPr>
      <w:r>
        <w:t>Do not create the final source-freeze tag until those decisions are reflected in code and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F7F7F"/>
        <w:sz w:val="16"/>
      </w:rPr>
      <w:t xml:space="preserve">Development status prepared from the individual project analysis and current repository evidence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NG JING YONG  |  NEXT SUPERVISION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2F559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