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0" w:line="276" w:lineRule="auto"/>
      </w:pPr>
      <w:r>
        <w:rPr>
          <w:rFonts w:ascii="Times New Roman" w:hAnsi="Times New Roman"/>
          <w:b/>
          <w:i w:val="0"/>
          <w:sz w:val="28"/>
        </w:rPr>
        <w:t>Supplementary material</w:t>
      </w:r>
    </w:p>
    <w:p>
      <w:pPr>
        <w:keepNext w:val="0"/>
        <w:spacing w:before="0" w:after="80" w:line="276" w:lineRule="auto"/>
      </w:pPr>
      <w:r>
        <w:rPr>
          <w:rFonts w:ascii="Times New Roman" w:hAnsi="Times New Roman"/>
          <w:b w:val="0"/>
          <w:i/>
          <w:sz w:val="20"/>
        </w:rPr>
        <w:t>Beyond Point Accuracy and Rule Compliance: Layered Evaluation of a Constrained Neuro-Symbolic Decision-Support System</w:t>
      </w:r>
    </w:p>
    <w:p>
      <w:pPr>
        <w:keepNext w:val="0"/>
        <w:spacing w:before="0" w:after="40" w:line="276" w:lineRule="auto"/>
      </w:pPr>
      <w:r>
        <w:rPr>
          <w:rFonts w:ascii="Times New Roman" w:hAnsi="Times New Roman"/>
          <w:b w:val="0"/>
          <w:i w:val="0"/>
          <w:sz w:val="18"/>
        </w:rPr>
        <w:t>SN Computer Science. Low Choon Keat, Ng Jing Yong, Ng Yen Phing, Loo Bee Wah, Phoon Gar Chi.</w:t>
      </w:r>
    </w:p>
    <w:p>
      <w:pPr>
        <w:keepNext w:val="0"/>
        <w:spacing w:before="0" w:after="200" w:line="276" w:lineRule="auto"/>
      </w:pPr>
      <w:r>
        <w:rPr>
          <w:rFonts w:ascii="Times New Roman" w:hAnsi="Times New Roman"/>
          <w:b w:val="0"/>
          <w:i w:val="0"/>
          <w:sz w:val="18"/>
        </w:rPr>
        <w:t>Corresponding author: Low Choon Keat, lowck@tarc.edu.my, Department of Information and Communication Technology, Faculty of Computing and Information Technology, Tunku Abdul Rahman University of Management and Technology, 53300 Kuala Lumpur, Malaysia.</w:t>
      </w:r>
    </w:p>
    <w:p>
      <w:pPr>
        <w:keepNext/>
        <w:spacing w:before="160" w:after="60" w:line="240" w:lineRule="auto"/>
      </w:pPr>
      <w:r>
        <w:rPr>
          <w:rFonts w:ascii="Times New Roman" w:hAnsi="Times New Roman"/>
          <w:b/>
          <w:sz w:val="18"/>
        </w:rPr>
        <w:t>Table S1</w:t>
      </w:r>
      <w:r>
        <w:rPr>
          <w:rFonts w:ascii="Times New Roman" w:hAnsi="Times New Roman"/>
          <w:sz w:val="18"/>
        </w:rPr>
        <w:t xml:space="preserve"> Pooled action confusion matrices for the integrated backbone (B4) and the full method (P) across three seeds, 57 seed-case outputs on 19 unique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/>
        </w:trPr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System</w:t>
            </w:r>
          </w:p>
        </w:tc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Reference action</w:t>
            </w:r>
          </w:p>
        </w:tc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Predicted Increase</w:t>
            </w:r>
          </w:p>
        </w:tc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Predicted Maintain</w:t>
            </w:r>
          </w:p>
        </w:tc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Predicted Reduce</w:t>
            </w:r>
          </w:p>
        </w:tc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Predicted Investigate</w:t>
            </w:r>
          </w:p>
        </w:tc>
        <w:tc>
          <w:tcPr>
            <w:tcW w:type="dxa" w:w="1296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Row total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B4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Increase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Maintain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Reduce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Investigate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Total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57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Increase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Maintain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Reduce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Investigate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</w:tr>
      <w:tr>
        <w:tc>
          <w:tcPr>
            <w:tcW w:type="dxa" w:w="1296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Total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1296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57</w:t>
            </w:r>
          </w:p>
        </w:tc>
      </w:tr>
    </w:tbl>
    <w:p>
      <w:pPr>
        <w:spacing w:before="40" w:after="140" w:line="240" w:lineRule="auto"/>
      </w:pPr>
      <w:r>
        <w:rPr>
          <w:rFonts w:ascii="Times New Roman" w:hAnsi="Times New Roman"/>
          <w:sz w:val="16"/>
        </w:rPr>
        <w:t>The 57 outputs are repeated runs of three seeds over the same 19 cases, not 57 independent observations. The generalisation unit is the campaign case.</w:t>
      </w:r>
    </w:p>
    <w:p>
      <w:pPr>
        <w:keepNext/>
        <w:spacing w:before="160" w:after="60" w:line="240" w:lineRule="auto"/>
      </w:pPr>
      <w:r>
        <w:rPr>
          <w:rFonts w:ascii="Times New Roman" w:hAnsi="Times New Roman"/>
          <w:b/>
          <w:sz w:val="18"/>
        </w:rPr>
        <w:t>Table S2</w:t>
      </w:r>
      <w:r>
        <w:rPr>
          <w:rFonts w:ascii="Times New Roman" w:hAnsi="Times New Roman"/>
          <w:sz w:val="18"/>
        </w:rPr>
        <w:t xml:space="preserve"> Seed-level preferred-action accuracy, Macro F1, and Top-2 agreement for every neural configuration on the original 19-case cohort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Configuration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Seed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Accuracy (%)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Macro F1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Top-2 (%)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Proposed System - Full Framework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78.95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0.7836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Unconstrained AI Baseline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0.8865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Branch Ablation - CampaignNet Only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36.84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0.3237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47.37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47.37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0.3927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57.89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47.37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0.3927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52.63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Branch Ablation - ActionNet Only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0.8865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0.8865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Branch Ablation - Fused CampaignNet-ActionNet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0.8865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Proposed Ablation - Without Intent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68.42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0.6953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78.95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0.7974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73.68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0.7614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Proposed Ablation - Without Rules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0.8865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0.9530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Proposed Ablation - Without Calibration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78.95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0.7836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Proposed Ablation - Without Structured Explanation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78.95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0.7836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Proposed Ablation - Without Review Gate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78.95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0.7836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0.8501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B4: Integrated Learned Backbone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73.68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0.7256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94.74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84.21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0.8320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100.00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62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78.95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0.7917</w:t>
            </w:r>
          </w:p>
        </w:tc>
        <w:tc>
          <w:tcPr>
            <w:tcW w:type="dxa" w:w="1814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89.47</w:t>
            </w:r>
          </w:p>
        </w:tc>
      </w:tr>
    </w:tbl>
    <w:p>
      <w:pPr>
        <w:spacing w:before="40" w:after="140" w:line="240" w:lineRule="auto"/>
      </w:pPr>
      <w:r>
        <w:rPr>
          <w:rFonts w:ascii="Times New Roman" w:hAnsi="Times New Roman"/>
          <w:sz w:val="16"/>
        </w:rPr>
        <w:t>Accuracy and Top-2 agreement are percentages of the 19 unique cases; Macro F1 is the unweighted mean over the four action classes. Deterministic comparators are evaluated once and are reported in Table 1 of the main text.</w:t>
      </w:r>
    </w:p>
    <w:p>
      <w:pPr>
        <w:keepNext/>
        <w:spacing w:before="160" w:after="60" w:line="240" w:lineRule="auto"/>
      </w:pPr>
      <w:r>
        <w:rPr>
          <w:rFonts w:ascii="Times New Roman" w:hAnsi="Times New Roman"/>
          <w:b/>
          <w:sz w:val="18"/>
        </w:rPr>
        <w:t>Table S3</w:t>
      </w:r>
      <w:r>
        <w:rPr>
          <w:rFonts w:ascii="Times New Roman" w:hAnsi="Times New Roman"/>
          <w:sz w:val="18"/>
        </w:rPr>
        <w:t xml:space="preserve"> Reliability-bin composition for the full method under raw and temperature-scaled probabilities, seed 42, validation and test partitions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rPr>
          <w:tblHeader/>
        </w:trPr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Partition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Probabilities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Bin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Interval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k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Mean confidence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Observed accuracy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Absolute gap</w:t>
            </w:r>
          </w:p>
        </w:tc>
        <w:tc>
          <w:tcPr>
            <w:tcW w:type="dxa" w:w="907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ECE contribution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[0.0, 0.2)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[0.2, 0.4)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0.3856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0.6144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0.0323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[0.4, 0.6)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0.4855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0.6250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0.1395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0.1175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[0.6, 0.8)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[0.8, 1.0]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0.0526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[0.0, 0.2)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[0.2, 0.4)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0.3613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0.6471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0.2858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0.2557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[0.4, 0.6)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[0.6, 0.8)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Validation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[0.8, 1.0]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0.0526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[0.0, 0.2)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[0.2, 0.4)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[0.4, 0.6)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0.5018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0.7778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0.2760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0.2615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[0.6, 0.8)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Raw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[0.8, 1.0]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[0.0, 0.2)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[0.2, 0.4)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0.3644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0.8750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0.5106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0.4300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[0.4, 0.6)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0.5091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0.5091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0.0536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[0.6, 0.8)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  <w:tr>
        <w:tc>
          <w:tcPr>
            <w:tcW w:type="dxa" w:w="907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Test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Calibrated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[0.8, 1.0]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type="dxa" w:w="907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</w:tr>
    </w:tbl>
    <w:p>
      <w:pPr>
        <w:spacing w:before="40" w:after="140" w:line="240" w:lineRule="auto"/>
      </w:pPr>
      <w:r>
        <w:rPr>
          <w:rFonts w:ascii="Times New Roman" w:hAnsi="Times New Roman"/>
          <w:sz w:val="16"/>
        </w:rPr>
        <w:t>n is the number of the 19 cases falling in the bin and k the number of those cases whose preferred action was recovered. Only one or two bins are occupied in each partition, which is why a 19-case cohort cannot support a stable bin-level calibration claim.</w:t>
      </w:r>
    </w:p>
    <w:p>
      <w:pPr>
        <w:keepNext/>
        <w:spacing w:before="160" w:after="60" w:line="240" w:lineRule="auto"/>
      </w:pPr>
      <w:r>
        <w:rPr>
          <w:rFonts w:ascii="Times New Roman" w:hAnsi="Times New Roman"/>
          <w:b/>
          <w:sz w:val="18"/>
        </w:rPr>
        <w:t>Table S4</w:t>
      </w:r>
      <w:r>
        <w:rPr>
          <w:rFonts w:ascii="Times New Roman" w:hAnsi="Times New Roman"/>
          <w:sz w:val="18"/>
        </w:rPr>
        <w:t xml:space="preserve"> Review-state composition for the original 19-case seed-42 audit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Review state or derived quantity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Count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Denominator</w:t>
            </w:r>
          </w:p>
        </w:tc>
        <w:tc>
          <w:tcPr>
            <w:tcW w:type="dxa" w:w="2268"/>
            <w:tcBorders>
              <w:bottom w:val="single" w:sz="6" w:space="0" w:color="000000"/>
            </w:tcBorders>
          </w:tcPr>
          <w:p>
            <w:pPr>
              <w:spacing w:before="10" w:after="10" w:line="240" w:lineRule="auto"/>
              <w:jc w:val="right"/>
            </w:pPr>
            <w:r/>
            <w:r>
              <w:rPr>
                <w:rFonts w:ascii="Times New Roman" w:hAnsi="Times New Roman"/>
                <w:b/>
                <w:sz w:val="16"/>
              </w:rPr>
              <w:t>Rate (%)</w:t>
            </w:r>
          </w:p>
        </w:tc>
      </w:tr>
      <w:tr>
        <w:tc>
          <w:tcPr>
            <w:tcW w:type="dxa" w:w="226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RECOMMEND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47.37</w:t>
            </w:r>
          </w:p>
        </w:tc>
      </w:tr>
      <w:tr>
        <w:tc>
          <w:tcPr>
            <w:tcW w:type="dxa" w:w="226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CHECK ADVISED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5.26</w:t>
            </w:r>
          </w:p>
        </w:tc>
      </w:tr>
      <w:tr>
        <w:tc>
          <w:tcPr>
            <w:tcW w:type="dxa" w:w="226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HUMAN REVIEW REQUIRED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42.11</w:t>
            </w:r>
          </w:p>
        </w:tc>
      </w:tr>
      <w:tr>
        <w:tc>
          <w:tcPr>
            <w:tcW w:type="dxa" w:w="226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NO SAFE RECOMMENDATION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5.26</w:t>
            </w:r>
          </w:p>
        </w:tc>
      </w:tr>
      <w:tr>
        <w:tc>
          <w:tcPr>
            <w:tcW w:type="dxa" w:w="226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Automatic coverage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47.37</w:t>
            </w:r>
          </w:p>
        </w:tc>
      </w:tr>
      <w:tr>
        <w:tc>
          <w:tcPr>
            <w:tcW w:type="dxa" w:w="2268"/>
          </w:tcPr>
          <w:p>
            <w:pPr>
              <w:spacing w:before="10" w:after="10" w:line="240" w:lineRule="auto"/>
            </w:pPr>
            <w:r>
              <w:rPr>
                <w:rFonts w:ascii="Times New Roman" w:hAnsi="Times New Roman"/>
                <w:sz w:val="16"/>
              </w:rPr>
              <w:t>Review demand (non-automatic)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before="10" w:after="10" w:line="240" w:lineRule="auto"/>
              <w:jc w:val="right"/>
            </w:pPr>
            <w:r>
              <w:rPr>
                <w:rFonts w:ascii="Times New Roman" w:hAnsi="Times New Roman"/>
                <w:sz w:val="16"/>
              </w:rPr>
              <w:t>52.63</w:t>
            </w:r>
          </w:p>
        </w:tc>
      </w:tr>
    </w:tbl>
    <w:p>
      <w:pPr>
        <w:spacing w:before="40" w:after="140" w:line="240" w:lineRule="auto"/>
      </w:pPr>
      <w:r>
        <w:rPr>
          <w:rFonts w:ascii="Times New Roman" w:hAnsi="Times New Roman"/>
          <w:sz w:val="16"/>
        </w:rPr>
        <w:t>Single-seed audit. One case fell outside the training benchmark envelope and is counted within the non-automatic states. These are policy diagnostics, not seed-averaged estimates.</w:t>
      </w:r>
    </w:p>
    <w:sectPr w:rsidR="00FC693F" w:rsidRPr="0006063C" w:rsidSect="00034616">
      <w:footerReference w:type="default" r:id="rId9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