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FBD13" w14:textId="77777777" w:rsidR="005E420D" w:rsidRPr="005E420D" w:rsidRDefault="005E420D" w:rsidP="005E420D">
      <w:pPr>
        <w:rPr>
          <w:b/>
          <w:bCs/>
        </w:rPr>
      </w:pPr>
      <w:r w:rsidRPr="005E420D">
        <w:rPr>
          <w:b/>
          <w:bCs/>
        </w:rPr>
        <w:t>〈美股早盤〉晶片股反彈帶動科技股走強</w:t>
      </w:r>
      <w:r w:rsidRPr="005E420D">
        <w:rPr>
          <w:b/>
          <w:bCs/>
        </w:rPr>
        <w:t xml:space="preserve"> </w:t>
      </w:r>
      <w:r w:rsidRPr="005E420D">
        <w:rPr>
          <w:b/>
          <w:bCs/>
        </w:rPr>
        <w:t>主要指數開高迎財報周</w:t>
      </w:r>
    </w:p>
    <w:p w14:paraId="56F554B2" w14:textId="77777777" w:rsidR="005E420D" w:rsidRPr="005E420D" w:rsidRDefault="005E420D" w:rsidP="005E420D">
      <w:r w:rsidRPr="005E420D">
        <w:t>鉅亨網編譯段智恆</w:t>
      </w:r>
      <w:r w:rsidRPr="005E420D">
        <w:t xml:space="preserve"> </w:t>
      </w:r>
      <w:r w:rsidRPr="005E420D">
        <w:t>綜合外電</w:t>
      </w:r>
      <w:r w:rsidRPr="005E420D">
        <w:t>2026-07-06 21:44</w:t>
      </w:r>
    </w:p>
    <w:p w14:paraId="1CBF25DB" w14:textId="77777777" w:rsidR="005E420D" w:rsidRPr="005E420D" w:rsidRDefault="005E420D" w:rsidP="005E420D">
      <w:r w:rsidRPr="005E420D">
        <w:t>美股主要指數周一</w:t>
      </w:r>
      <w:r w:rsidRPr="005E420D">
        <w:t xml:space="preserve"> (6 </w:t>
      </w:r>
      <w:r w:rsidRPr="005E420D">
        <w:t>日</w:t>
      </w:r>
      <w:r w:rsidRPr="005E420D">
        <w:t xml:space="preserve">) </w:t>
      </w:r>
      <w:r w:rsidRPr="005E420D">
        <w:t>開高，延續上周漲勢，晶片股反彈帶動科技股走強，市場押注</w:t>
      </w:r>
      <w:r w:rsidRPr="005E420D">
        <w:t xml:space="preserve"> AI </w:t>
      </w:r>
      <w:r w:rsidRPr="005E420D">
        <w:t>投資熱潮仍具續航力，吸引逢低買盤回流。投資人本周聚焦聯準會</w:t>
      </w:r>
      <w:r w:rsidRPr="005E420D">
        <w:t xml:space="preserve"> (Fed) </w:t>
      </w:r>
      <w:r w:rsidRPr="005E420D">
        <w:t>會議紀錄及第二季財報季揭幕，以尋找利率政策與企業獲利前景的最新線索。其中，</w:t>
      </w:r>
      <w:hyperlink r:id="rId4" w:history="1">
        <w:r w:rsidRPr="005E420D">
          <w:rPr>
            <w:rStyle w:val="ae"/>
          </w:rPr>
          <w:t>那斯達克</w:t>
        </w:r>
      </w:hyperlink>
      <w:r w:rsidRPr="005E420D">
        <w:t>指數漲勢領先，</w:t>
      </w:r>
      <w:hyperlink r:id="rId5" w:history="1">
        <w:r w:rsidRPr="005E420D">
          <w:rPr>
            <w:rStyle w:val="ae"/>
          </w:rPr>
          <w:t>道瓊指數</w:t>
        </w:r>
      </w:hyperlink>
      <w:r w:rsidRPr="005E420D">
        <w:t>盤中一度首度站上</w:t>
      </w:r>
      <w:r w:rsidRPr="005E420D">
        <w:t xml:space="preserve"> 53,000 </w:t>
      </w:r>
      <w:r w:rsidRPr="005E420D">
        <w:t>點整數關卡。</w:t>
      </w:r>
    </w:p>
    <w:p w14:paraId="6C1BF954" w14:textId="5F78356B" w:rsidR="005E420D" w:rsidRPr="005E420D" w:rsidRDefault="005E420D" w:rsidP="005E420D"/>
    <w:p w14:paraId="08390341" w14:textId="77777777" w:rsidR="005E420D" w:rsidRPr="005E420D" w:rsidRDefault="005E420D" w:rsidP="005E420D">
      <w:r w:rsidRPr="005E420D">
        <w:t>〈美股早盤〉晶片股反彈帶動科技股走強</w:t>
      </w:r>
      <w:r w:rsidRPr="005E420D">
        <w:t xml:space="preserve"> </w:t>
      </w:r>
      <w:r w:rsidRPr="005E420D">
        <w:t>主要指數開高迎財報周</w:t>
      </w:r>
      <w:r w:rsidRPr="005E420D">
        <w:t>(</w:t>
      </w:r>
      <w:r w:rsidRPr="005E420D">
        <w:t>圖：</w:t>
      </w:r>
      <w:r w:rsidRPr="005E420D">
        <w:t>REUTERS/TPG)</w:t>
      </w:r>
    </w:p>
    <w:p w14:paraId="0E3E9248" w14:textId="77777777" w:rsidR="005E420D" w:rsidRPr="005E420D" w:rsidRDefault="005E420D" w:rsidP="005E420D">
      <w:r w:rsidRPr="005E420D">
        <w:t>截稿前，</w:t>
      </w:r>
      <w:hyperlink r:id="rId6" w:tgtFrame="_blank" w:history="1">
        <w:r w:rsidRPr="005E420D">
          <w:rPr>
            <w:rStyle w:val="ae"/>
          </w:rPr>
          <w:t>道瓊工業指數</w:t>
        </w:r>
      </w:hyperlink>
      <w:r w:rsidRPr="005E420D">
        <w:t>跌逾</w:t>
      </w:r>
      <w:r w:rsidRPr="005E420D">
        <w:t xml:space="preserve"> 70 </w:t>
      </w:r>
      <w:r w:rsidRPr="005E420D">
        <w:t>點或近</w:t>
      </w:r>
      <w:r w:rsidRPr="005E420D">
        <w:t xml:space="preserve"> 0.1%</w:t>
      </w:r>
      <w:r w:rsidRPr="005E420D">
        <w:t>，</w:t>
      </w:r>
      <w:hyperlink r:id="rId7" w:tgtFrame="_blank" w:history="1">
        <w:r w:rsidRPr="005E420D">
          <w:rPr>
            <w:rStyle w:val="ae"/>
          </w:rPr>
          <w:t>那斯達克綜合指數</w:t>
        </w:r>
      </w:hyperlink>
      <w:r w:rsidRPr="005E420D">
        <w:t>漲逾</w:t>
      </w:r>
      <w:r w:rsidRPr="005E420D">
        <w:t xml:space="preserve"> 180 </w:t>
      </w:r>
      <w:r w:rsidRPr="005E420D">
        <w:t>點或近</w:t>
      </w:r>
      <w:r w:rsidRPr="005E420D">
        <w:t xml:space="preserve"> 0.7%</w:t>
      </w:r>
      <w:r w:rsidRPr="005E420D">
        <w:t>，</w:t>
      </w:r>
      <w:hyperlink r:id="rId8" w:tgtFrame="_blank" w:history="1">
        <w:r w:rsidRPr="005E420D">
          <w:rPr>
            <w:rStyle w:val="ae"/>
          </w:rPr>
          <w:t>標普</w:t>
        </w:r>
        <w:r w:rsidRPr="005E420D">
          <w:rPr>
            <w:rStyle w:val="ae"/>
          </w:rPr>
          <w:t xml:space="preserve"> 500 </w:t>
        </w:r>
        <w:r w:rsidRPr="005E420D">
          <w:rPr>
            <w:rStyle w:val="ae"/>
          </w:rPr>
          <w:t>指數</w:t>
        </w:r>
      </w:hyperlink>
      <w:r w:rsidRPr="005E420D">
        <w:t>漲近</w:t>
      </w:r>
      <w:r w:rsidRPr="005E420D">
        <w:t xml:space="preserve"> 0.3%</w:t>
      </w:r>
      <w:r w:rsidRPr="005E420D">
        <w:t>，</w:t>
      </w:r>
      <w:hyperlink r:id="rId9" w:tgtFrame="_blank" w:history="1">
        <w:r w:rsidRPr="005E420D">
          <w:rPr>
            <w:rStyle w:val="ae"/>
          </w:rPr>
          <w:t>費城半導體</w:t>
        </w:r>
      </w:hyperlink>
      <w:r w:rsidRPr="005E420D">
        <w:t>指數漲近</w:t>
      </w:r>
      <w:r w:rsidRPr="005E420D">
        <w:t xml:space="preserve"> 3.7%</w:t>
      </w:r>
      <w:r w:rsidRPr="005E420D">
        <w:t>。台積電</w:t>
      </w:r>
      <w:r w:rsidRPr="005E420D">
        <w:t xml:space="preserve"> ADR </w:t>
      </w:r>
      <w:r w:rsidRPr="005E420D">
        <w:t>漲逾</w:t>
      </w:r>
      <w:r w:rsidRPr="005E420D">
        <w:t xml:space="preserve"> 4.6%</w:t>
      </w:r>
      <w:r w:rsidRPr="005E420D">
        <w:t>。</w:t>
      </w:r>
    </w:p>
    <w:p w14:paraId="117E9A71" w14:textId="77777777" w:rsidR="005E420D" w:rsidRPr="005E420D" w:rsidRDefault="005E420D" w:rsidP="005E420D">
      <w:r w:rsidRPr="005E420D">
        <w:t>美股在國慶假期休市後恢復交易，科技股盤前領漲，美股期貨走高，市場焦點轉向本周即將登場的南韓晶片大廠財報與上市案，投資人將藉此檢視人工智慧</w:t>
      </w:r>
      <w:r w:rsidRPr="005E420D">
        <w:t xml:space="preserve"> (AI) </w:t>
      </w:r>
      <w:r w:rsidRPr="005E420D">
        <w:t>投資熱潮是否仍具續航力。</w:t>
      </w:r>
    </w:p>
    <w:p w14:paraId="40F7A310" w14:textId="77777777" w:rsidR="005E420D" w:rsidRPr="005E420D" w:rsidRDefault="005E420D" w:rsidP="005E420D">
      <w:r w:rsidRPr="005E420D">
        <w:t>周一盤前，</w:t>
      </w:r>
      <w:hyperlink r:id="rId10" w:history="1">
        <w:r w:rsidRPr="005E420D">
          <w:rPr>
            <w:rStyle w:val="ae"/>
          </w:rPr>
          <w:t>那斯達克</w:t>
        </w:r>
      </w:hyperlink>
      <w:r w:rsidRPr="005E420D">
        <w:t xml:space="preserve"> 100 </w:t>
      </w:r>
      <w:r w:rsidRPr="005E420D">
        <w:t>指數期貨上漲</w:t>
      </w:r>
      <w:r w:rsidRPr="005E420D">
        <w:t xml:space="preserve"> 1.1%</w:t>
      </w:r>
      <w:r w:rsidRPr="005E420D">
        <w:t>，</w:t>
      </w:r>
      <w:hyperlink r:id="rId11" w:history="1">
        <w:r w:rsidRPr="005E420D">
          <w:rPr>
            <w:rStyle w:val="ae"/>
          </w:rPr>
          <w:t>標普</w:t>
        </w:r>
        <w:r w:rsidRPr="005E420D">
          <w:rPr>
            <w:rStyle w:val="ae"/>
          </w:rPr>
          <w:t xml:space="preserve"> 500 </w:t>
        </w:r>
        <w:r w:rsidRPr="005E420D">
          <w:rPr>
            <w:rStyle w:val="ae"/>
          </w:rPr>
          <w:t>指數</w:t>
        </w:r>
      </w:hyperlink>
      <w:r w:rsidRPr="005E420D">
        <w:t>期貨漲</w:t>
      </w:r>
      <w:r w:rsidRPr="005E420D">
        <w:t xml:space="preserve"> 0.4%</w:t>
      </w:r>
      <w:r w:rsidRPr="005E420D">
        <w:t>。歐洲</w:t>
      </w:r>
      <w:r w:rsidRPr="005E420D">
        <w:t xml:space="preserve"> Stoxx 600 </w:t>
      </w:r>
      <w:r w:rsidRPr="005E420D">
        <w:t>指數自歷史高點回落</w:t>
      </w:r>
      <w:r w:rsidRPr="005E420D">
        <w:t xml:space="preserve"> 0.4%</w:t>
      </w:r>
      <w:r w:rsidRPr="005E420D">
        <w:t>，亞洲股市則漲跌互見。本周市場將聚焦三星電子周二公布財報，以及</w:t>
      </w:r>
      <w:r w:rsidRPr="005E420D">
        <w:t xml:space="preserve"> SK </w:t>
      </w:r>
      <w:r w:rsidRPr="005E420D">
        <w:t>海力士啟動</w:t>
      </w:r>
      <w:r w:rsidRPr="005E420D">
        <w:t xml:space="preserve"> 280 </w:t>
      </w:r>
      <w:r w:rsidRPr="005E420D">
        <w:t>億美元赴美上市案，兩大事件被視為</w:t>
      </w:r>
      <w:r w:rsidRPr="005E420D">
        <w:t xml:space="preserve"> AI </w:t>
      </w:r>
      <w:r w:rsidRPr="005E420D">
        <w:t>記憶體產業景氣的重要風向球。</w:t>
      </w:r>
    </w:p>
    <w:p w14:paraId="7737779F" w14:textId="77777777" w:rsidR="005E420D" w:rsidRPr="005E420D" w:rsidRDefault="005E420D" w:rsidP="005E420D">
      <w:r w:rsidRPr="005E420D">
        <w:t>由於本周美國經濟數據發布有限，企業財報季也尚未全面展開，市場焦點轉向</w:t>
      </w:r>
      <w:r w:rsidRPr="005E420D">
        <w:t xml:space="preserve"> AI </w:t>
      </w:r>
      <w:r w:rsidRPr="005E420D">
        <w:t>相關個股表現。近期全球股市走勢震盪，部分投資人開始質疑</w:t>
      </w:r>
      <w:r w:rsidRPr="005E420D">
        <w:t xml:space="preserve"> AI </w:t>
      </w:r>
      <w:r w:rsidRPr="005E420D">
        <w:t>帶動的科技股漲勢是否過熱，以及企業大規模資本支出是否足以帶來相對應的獲利回報。</w:t>
      </w:r>
    </w:p>
    <w:p w14:paraId="25F514A9" w14:textId="77777777" w:rsidR="005E420D" w:rsidRPr="005E420D" w:rsidRDefault="005E420D" w:rsidP="005E420D">
      <w:r w:rsidRPr="005E420D">
        <w:t>另一方面，</w:t>
      </w:r>
      <w:r w:rsidRPr="005E420D">
        <w:t xml:space="preserve">SpaceX </w:t>
      </w:r>
      <w:r w:rsidRPr="005E420D">
        <w:t>預計周二納入</w:t>
      </w:r>
      <w:hyperlink r:id="rId12" w:history="1">
        <w:r w:rsidRPr="005E420D">
          <w:rPr>
            <w:rStyle w:val="ae"/>
          </w:rPr>
          <w:t>那斯達克</w:t>
        </w:r>
      </w:hyperlink>
      <w:r w:rsidRPr="005E420D">
        <w:t xml:space="preserve"> 100 </w:t>
      </w:r>
      <w:r w:rsidRPr="005E420D">
        <w:t>指數，也可能引發指數基金調整持股，進一步影響市場資金流向。</w:t>
      </w:r>
    </w:p>
    <w:p w14:paraId="462661A6" w14:textId="77777777" w:rsidR="005E420D" w:rsidRPr="005E420D" w:rsidRDefault="005E420D" w:rsidP="005E420D">
      <w:r w:rsidRPr="005E420D">
        <w:t xml:space="preserve">Singular Bank </w:t>
      </w:r>
      <w:r w:rsidRPr="005E420D">
        <w:t>策略主管</w:t>
      </w:r>
      <w:r w:rsidRPr="005E420D">
        <w:t xml:space="preserve"> Roberto Scholtes </w:t>
      </w:r>
      <w:r w:rsidRPr="005E420D">
        <w:t>表示，市場可能持續調節半導體等熱門科技股部位，接下來觀察重點將是資金是否輪動至落後族群，或演變為更全面的市場修正。</w:t>
      </w:r>
    </w:p>
    <w:p w14:paraId="497CF75E" w14:textId="77777777" w:rsidR="005E420D" w:rsidRPr="005E420D" w:rsidRDefault="005E420D" w:rsidP="005E420D">
      <w:r w:rsidRPr="005E420D">
        <w:lastRenderedPageBreak/>
        <w:t>大宗商品方面，隨著荷姆茲海峽原油運輸維持順暢，加上</w:t>
      </w:r>
      <w:r w:rsidRPr="005E420D">
        <w:t xml:space="preserve"> OPEC + </w:t>
      </w:r>
      <w:r w:rsidRPr="005E420D">
        <w:t>釋出增產訊號，國際油價回落，</w:t>
      </w:r>
      <w:hyperlink r:id="rId13" w:history="1">
        <w:r w:rsidRPr="005E420D">
          <w:rPr>
            <w:rStyle w:val="ae"/>
          </w:rPr>
          <w:t>布蘭特原油</w:t>
        </w:r>
      </w:hyperlink>
      <w:r w:rsidRPr="005E420D">
        <w:t>跌約</w:t>
      </w:r>
      <w:r w:rsidRPr="005E420D">
        <w:t xml:space="preserve"> 0.6% </w:t>
      </w:r>
      <w:r w:rsidRPr="005E420D">
        <w:t>至每桶</w:t>
      </w:r>
      <w:r w:rsidRPr="005E420D">
        <w:t xml:space="preserve"> 71.67 </w:t>
      </w:r>
      <w:r w:rsidRPr="005E420D">
        <w:t>美元。沙烏地阿拉伯更將</w:t>
      </w:r>
      <w:r w:rsidRPr="005E420D">
        <w:t xml:space="preserve"> 8 </w:t>
      </w:r>
      <w:r w:rsidRPr="005E420D">
        <w:t>月銷往亞洲的旗艦原油官方售價調降至至少</w:t>
      </w:r>
      <w:r w:rsidRPr="005E420D">
        <w:t xml:space="preserve"> 26 </w:t>
      </w:r>
      <w:r w:rsidRPr="005E420D">
        <w:t>年來最大降幅，反映全球原油供應增加。</w:t>
      </w:r>
    </w:p>
    <w:p w14:paraId="5A2AB7B9" w14:textId="77777777" w:rsidR="005E420D" w:rsidRPr="005E420D" w:rsidRDefault="005E420D" w:rsidP="005E420D">
      <w:r w:rsidRPr="005E420D">
        <w:t>美債價格同步走揚，</w:t>
      </w:r>
      <w:hyperlink r:id="rId14" w:history="1">
        <w:r w:rsidRPr="005E420D">
          <w:rPr>
            <w:rStyle w:val="ae"/>
          </w:rPr>
          <w:t xml:space="preserve">10 </w:t>
        </w:r>
        <w:r w:rsidRPr="005E420D">
          <w:rPr>
            <w:rStyle w:val="ae"/>
          </w:rPr>
          <w:t>年期公債殖利率</w:t>
        </w:r>
      </w:hyperlink>
      <w:r w:rsidRPr="005E420D">
        <w:t>下滑</w:t>
      </w:r>
      <w:r w:rsidRPr="005E420D">
        <w:t xml:space="preserve"> 2 </w:t>
      </w:r>
      <w:r w:rsidRPr="005E420D">
        <w:t>個基點至</w:t>
      </w:r>
      <w:r w:rsidRPr="005E420D">
        <w:t xml:space="preserve"> 4.46%</w:t>
      </w:r>
      <w:r w:rsidRPr="005E420D">
        <w:t>。</w:t>
      </w:r>
      <w:r w:rsidRPr="005E420D">
        <w:t xml:space="preserve">Santander Asset Management </w:t>
      </w:r>
      <w:r w:rsidRPr="005E420D">
        <w:t>認為，本周缺乏重大經濟數據，油價走勢將成為影響美債表現的重要因素，若能源市場持續穩定，加上聯準會官員未釋出新的政策訊號，市場預料貨幣政策立場不致出現明顯變化。</w:t>
      </w:r>
    </w:p>
    <w:p w14:paraId="33D72799" w14:textId="77777777" w:rsidR="005E420D" w:rsidRPr="005E420D" w:rsidRDefault="005E420D" w:rsidP="005E420D">
      <w:r w:rsidRPr="005E420D">
        <w:t>匯市方面，</w:t>
      </w:r>
      <w:hyperlink r:id="rId15" w:history="1">
        <w:r w:rsidRPr="005E420D">
          <w:rPr>
            <w:rStyle w:val="ae"/>
          </w:rPr>
          <w:t>日元</w:t>
        </w:r>
      </w:hyperlink>
      <w:r w:rsidRPr="005E420D">
        <w:t>兌主要貨幣全面走弱，高盛將未來</w:t>
      </w:r>
      <w:r w:rsidRPr="005E420D">
        <w:t xml:space="preserve"> 12 </w:t>
      </w:r>
      <w:r w:rsidRPr="005E420D">
        <w:t>個月美元兌</w:t>
      </w:r>
      <w:hyperlink r:id="rId16" w:history="1">
        <w:r w:rsidRPr="005E420D">
          <w:rPr>
            <w:rStyle w:val="ae"/>
          </w:rPr>
          <w:t>日元</w:t>
        </w:r>
      </w:hyperlink>
      <w:r w:rsidRPr="005E420D">
        <w:t>預測由</w:t>
      </w:r>
      <w:r w:rsidRPr="005E420D">
        <w:t xml:space="preserve"> 155 </w:t>
      </w:r>
      <w:r w:rsidRPr="005E420D">
        <w:t>上調至</w:t>
      </w:r>
      <w:r w:rsidRPr="005E420D">
        <w:t xml:space="preserve"> 165</w:t>
      </w:r>
      <w:r w:rsidRPr="005E420D">
        <w:t>，理由包括日本財政壓力升高、美國公債殖利率維持高檔，以及日本銀行升息步調仍將相對緩慢。</w:t>
      </w:r>
    </w:p>
    <w:p w14:paraId="6016E7EE" w14:textId="77777777" w:rsidR="005E420D" w:rsidRPr="005E420D" w:rsidRDefault="005E420D" w:rsidP="005E420D">
      <w:r w:rsidRPr="005E420D">
        <w:t>此外，摩根士丹利指出，隨著投資人逐步獲利了結，今年以來領漲的半導體股動能開始減弱，美股短期內恐難再創新高，市場資金正逐步轉向先前表現落後的族群，包括</w:t>
      </w:r>
      <w:r w:rsidRPr="005E420D">
        <w:t xml:space="preserve"> AI </w:t>
      </w:r>
      <w:r w:rsidRPr="005E420D">
        <w:t>超大規模雲端服務業者。</w:t>
      </w:r>
    </w:p>
    <w:p w14:paraId="45715079" w14:textId="77777777" w:rsidR="00FF0FA5" w:rsidRDefault="00FF0FA5"/>
    <w:sectPr w:rsidR="00FF0F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0D"/>
    <w:rsid w:val="00507518"/>
    <w:rsid w:val="005E420D"/>
    <w:rsid w:val="007D3043"/>
    <w:rsid w:val="00FF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29B0"/>
  <w15:chartTrackingRefBased/>
  <w15:docId w15:val="{84ACE509-A601-4391-8DC6-96861ADC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42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20D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20D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2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2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2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2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2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420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E42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E420D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E42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E420D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E42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E42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E42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E42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2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E4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2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E42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E42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2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20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2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E420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E420D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420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4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5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225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123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est.cnyes.com/index/GI/INX" TargetMode="External"/><Relationship Id="rId13" Type="http://schemas.openxmlformats.org/officeDocument/2006/relationships/hyperlink" Target="https://invest.cnyes.com/futures/GF/IBCON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invest.cnyes.com/index/GI/IXIC" TargetMode="External"/><Relationship Id="rId12" Type="http://schemas.openxmlformats.org/officeDocument/2006/relationships/hyperlink" Target="https://invest.cnyes.com/index/GI/IXIC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invest.cnyes.com/forex/detail/jpyusd" TargetMode="External"/><Relationship Id="rId1" Type="http://schemas.openxmlformats.org/officeDocument/2006/relationships/styles" Target="styles.xml"/><Relationship Id="rId6" Type="http://schemas.openxmlformats.org/officeDocument/2006/relationships/hyperlink" Target="https://invest.cnyes.com/index/GI/DJI" TargetMode="External"/><Relationship Id="rId11" Type="http://schemas.openxmlformats.org/officeDocument/2006/relationships/hyperlink" Target="https://invest.cnyes.com/index/GI/INX" TargetMode="External"/><Relationship Id="rId5" Type="http://schemas.openxmlformats.org/officeDocument/2006/relationships/hyperlink" Target="https://invest.cnyes.com/index/GI/DJI" TargetMode="External"/><Relationship Id="rId15" Type="http://schemas.openxmlformats.org/officeDocument/2006/relationships/hyperlink" Target="https://invest.cnyes.com/forex/detail/jpyusd" TargetMode="External"/><Relationship Id="rId10" Type="http://schemas.openxmlformats.org/officeDocument/2006/relationships/hyperlink" Target="https://invest.cnyes.com/index/GI/IXIC" TargetMode="External"/><Relationship Id="rId4" Type="http://schemas.openxmlformats.org/officeDocument/2006/relationships/hyperlink" Target="https://invest.cnyes.com/index/GI/IXIC" TargetMode="External"/><Relationship Id="rId9" Type="http://schemas.openxmlformats.org/officeDocument/2006/relationships/hyperlink" Target="https://invest.cnyes.com/index/GI/SOX" TargetMode="External"/><Relationship Id="rId14" Type="http://schemas.openxmlformats.org/officeDocument/2006/relationships/hyperlink" Target="https://invest.cnyes.com/futures/GF/US10YY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1765</Characters>
  <Application>Microsoft Office Word</Application>
  <DocSecurity>0</DocSecurity>
  <Lines>14</Lines>
  <Paragraphs>4</Paragraphs>
  <ScaleCrop>false</ScaleCrop>
  <Company>CBC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洪婉琪</dc:creator>
  <cp:keywords/>
  <dc:description/>
  <cp:lastModifiedBy>洪婉琪</cp:lastModifiedBy>
  <cp:revision>1</cp:revision>
  <dcterms:created xsi:type="dcterms:W3CDTF">2026-07-07T02:08:00Z</dcterms:created>
  <dcterms:modified xsi:type="dcterms:W3CDTF">2026-07-07T02:08:00Z</dcterms:modified>
</cp:coreProperties>
</file>