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C2387" w14:textId="65413E53" w:rsidR="00647EB7" w:rsidRPr="005E4DF0" w:rsidRDefault="00647EB7" w:rsidP="00FE6DC3">
      <w:pPr>
        <w:tabs>
          <w:tab w:val="left" w:pos="567"/>
        </w:tabs>
        <w:spacing w:before="100" w:beforeAutospacing="1" w:after="100" w:afterAutospacing="1" w:line="500" w:lineRule="exact"/>
        <w:jc w:val="center"/>
        <w:rPr>
          <w:rFonts w:ascii="Times New Roman" w:eastAsia="標楷體" w:hAnsi="Times New Roman" w:cs="Times New Roman"/>
          <w:b/>
          <w:bCs/>
          <w:sz w:val="32"/>
          <w:szCs w:val="32"/>
        </w:rPr>
      </w:pPr>
      <w:r w:rsidRPr="005E4DF0">
        <w:rPr>
          <w:rFonts w:ascii="Times New Roman" w:eastAsia="標楷體" w:hAnsi="Times New Roman" w:cs="Times New Roman"/>
          <w:b/>
          <w:bCs/>
          <w:sz w:val="32"/>
          <w:szCs w:val="32"/>
        </w:rPr>
        <w:t>早報資料</w:t>
      </w:r>
    </w:p>
    <w:p w14:paraId="51323C7A" w14:textId="6F6DAF58" w:rsidR="00647EB7" w:rsidRPr="005E4DF0" w:rsidRDefault="00647EB7" w:rsidP="00C12710">
      <w:pPr>
        <w:tabs>
          <w:tab w:val="left" w:pos="567"/>
        </w:tabs>
        <w:spacing w:line="500" w:lineRule="exact"/>
        <w:jc w:val="both"/>
        <w:rPr>
          <w:rFonts w:ascii="Times New Roman" w:eastAsia="標楷體" w:hAnsi="Times New Roman" w:cs="Times New Roman"/>
          <w:bCs/>
        </w:rPr>
      </w:pPr>
      <w:r w:rsidRPr="005E4DF0">
        <w:rPr>
          <w:rFonts w:ascii="Times New Roman" w:eastAsia="標楷體" w:hAnsi="Times New Roman" w:cs="Times New Roman"/>
          <w:b/>
          <w:bCs/>
          <w:sz w:val="30"/>
          <w:szCs w:val="30"/>
        </w:rPr>
        <w:t xml:space="preserve">                                       </w:t>
      </w:r>
      <w:r w:rsidRPr="005E4DF0">
        <w:rPr>
          <w:rFonts w:ascii="Times New Roman" w:eastAsia="標楷體" w:hAnsi="Times New Roman" w:cs="Times New Roman"/>
          <w:bCs/>
        </w:rPr>
        <w:t xml:space="preserve"> </w:t>
      </w:r>
      <w:r w:rsidR="0044017A">
        <w:rPr>
          <w:rFonts w:ascii="Times New Roman" w:eastAsia="標楷體" w:hAnsi="Times New Roman" w:cs="Times New Roman" w:hint="eastAsia"/>
          <w:bCs/>
        </w:rPr>
        <w:t xml:space="preserve">  </w:t>
      </w:r>
      <w:r w:rsidRPr="005E4DF0">
        <w:rPr>
          <w:rFonts w:ascii="Times New Roman" w:eastAsia="標楷體" w:hAnsi="Times New Roman" w:cs="Times New Roman"/>
          <w:bCs/>
        </w:rPr>
        <w:t>調撥科洪婉琪</w:t>
      </w:r>
      <w:r w:rsidRPr="005E4DF0">
        <w:rPr>
          <w:rFonts w:ascii="Times New Roman" w:eastAsia="標楷體" w:hAnsi="Times New Roman" w:cs="Times New Roman"/>
          <w:bCs/>
        </w:rPr>
        <w:t>202</w:t>
      </w:r>
      <w:r w:rsidR="009778AA">
        <w:rPr>
          <w:rFonts w:ascii="Times New Roman" w:eastAsia="標楷體" w:hAnsi="Times New Roman" w:cs="Times New Roman" w:hint="eastAsia"/>
          <w:bCs/>
        </w:rPr>
        <w:t>6.</w:t>
      </w:r>
      <w:r w:rsidR="00F252ED">
        <w:rPr>
          <w:rFonts w:ascii="Times New Roman" w:eastAsia="標楷體" w:hAnsi="Times New Roman" w:cs="Times New Roman" w:hint="eastAsia"/>
          <w:bCs/>
        </w:rPr>
        <w:t>4</w:t>
      </w:r>
      <w:r w:rsidR="009778AA">
        <w:rPr>
          <w:rFonts w:ascii="Times New Roman" w:eastAsia="標楷體" w:hAnsi="Times New Roman" w:cs="Times New Roman" w:hint="eastAsia"/>
          <w:bCs/>
        </w:rPr>
        <w:t>.</w:t>
      </w:r>
      <w:r w:rsidR="00025C12">
        <w:rPr>
          <w:rFonts w:ascii="Times New Roman" w:eastAsia="標楷體" w:hAnsi="Times New Roman" w:cs="Times New Roman" w:hint="eastAsia"/>
          <w:bCs/>
        </w:rPr>
        <w:t>1</w:t>
      </w:r>
      <w:r w:rsidR="00887FAA">
        <w:rPr>
          <w:rFonts w:ascii="Times New Roman" w:eastAsia="標楷體" w:hAnsi="Times New Roman" w:cs="Times New Roman" w:hint="eastAsia"/>
          <w:bCs/>
        </w:rPr>
        <w:t>6</w:t>
      </w:r>
    </w:p>
    <w:p w14:paraId="6772F792" w14:textId="7194773E" w:rsidR="00F910F9" w:rsidRPr="00056001" w:rsidRDefault="00056001" w:rsidP="00056001">
      <w:pPr>
        <w:pStyle w:val="1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  <w:r w:rsidRPr="00056001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一、</w:t>
      </w:r>
      <w:r w:rsidR="00F910F9" w:rsidRPr="00056001">
        <w:rPr>
          <w:rFonts w:ascii="標楷體" w:eastAsia="標楷體" w:hAnsi="標楷體"/>
          <w:b/>
          <w:bCs/>
          <w:color w:val="000000" w:themeColor="text1"/>
          <w:sz w:val="32"/>
          <w:szCs w:val="32"/>
        </w:rPr>
        <w:t>重大新聞</w:t>
      </w:r>
    </w:p>
    <w:p w14:paraId="28D883C7" w14:textId="2703D02E" w:rsidR="00A168B8" w:rsidRPr="00056001" w:rsidRDefault="00A168B8" w:rsidP="00056001">
      <w:pPr>
        <w:pStyle w:val="2"/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bookmarkStart w:id="0" w:name="_Hlk202935201"/>
      <w:r w:rsidRPr="00056001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【</w:t>
      </w:r>
      <w:r w:rsidR="002C473F" w:rsidRPr="00056001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美國</w:t>
      </w:r>
      <w:r w:rsidR="000C31B3" w:rsidRPr="00056001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國</w:t>
      </w:r>
      <w:r w:rsidR="002C473F" w:rsidRPr="00056001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防</w:t>
      </w:r>
      <w:r w:rsidR="000C31B3" w:rsidRPr="00056001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部</w:t>
      </w:r>
      <w:r w:rsidR="002C473F" w:rsidRPr="00056001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長：財政部對伊朗啟動代號「經濟狂怒」行動</w:t>
      </w:r>
      <w:r w:rsidRPr="00056001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】</w:t>
      </w:r>
    </w:p>
    <w:p w14:paraId="6AE20A08" w14:textId="44612A99" w:rsidR="003F553D" w:rsidRPr="003F553D" w:rsidRDefault="009726E8" w:rsidP="0031242B">
      <w:pPr>
        <w:overflowPunct w:val="0"/>
        <w:spacing w:afterLines="30" w:after="108" w:line="500" w:lineRule="exact"/>
        <w:ind w:leftChars="118" w:left="283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9726E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美國國防部長表示，</w:t>
      </w:r>
      <w:r w:rsidR="005D2968" w:rsidRPr="005D2968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現行海上封鎖僅是停火期間相對溫和的手段，若獲指示，美軍已準備對伊朗發電設施與能源產業發動打擊</w:t>
      </w:r>
      <w:r w:rsidR="0048763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，與此同時，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美國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財政部長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亦</w:t>
      </w:r>
      <w:r w:rsidR="005D2968" w:rsidRPr="000C31B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指出</w:t>
      </w:r>
      <w:r w:rsidR="00822158" w:rsidRPr="000C31B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</w:t>
      </w:r>
      <w:r w:rsidR="00487631" w:rsidRPr="000C31B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美國已加強對伊朗的經濟制裁力道，</w:t>
      </w:r>
      <w:r w:rsidR="0048763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並</w:t>
      </w:r>
      <w:r w:rsid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警告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各國若持續採購伊朗石油或讓伊朗資金留存於該國銀行</w:t>
      </w:r>
      <w:r w:rsid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體系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，將面臨嚴厲的制裁。由於中國購買伊朗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 xml:space="preserve"> 90%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以上的出口</w:t>
      </w:r>
      <w:r w:rsidR="005D296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原油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，約佔其年度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總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採購量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8%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，美方評估</w:t>
      </w:r>
      <w:r w:rsid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同步強化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海上封鎖</w:t>
      </w:r>
      <w:r w:rsid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與金融制裁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</w:t>
      </w:r>
      <w:r w:rsid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中國</w:t>
      </w:r>
      <w:r w:rsidR="005D296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相關採購行為將會被迫中止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。</w:t>
      </w:r>
      <w:r w:rsid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整體而言，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美國試圖透過</w:t>
      </w:r>
      <w:r w:rsidR="005D296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軍事行動與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其對</w:t>
      </w:r>
      <w:r w:rsidR="005D296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美元</w:t>
      </w:r>
      <w:r w:rsidR="00822158" w:rsidRPr="00822158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金融體系的掌控力，強制要求中國等國家配合其對伊朗的全面封鎖，此舉被視為以經濟手段擴大戰爭規模，市場高度關注此舉對美中貿易及外交摩擦的潛在衝擊。</w:t>
      </w:r>
    </w:p>
    <w:p w14:paraId="5A95299A" w14:textId="60E9A77A" w:rsidR="00BC65CE" w:rsidRDefault="00B538C3" w:rsidP="0031242B">
      <w:pPr>
        <w:spacing w:after="0" w:line="500" w:lineRule="exact"/>
        <w:jc w:val="both"/>
        <w:rPr>
          <w:rFonts w:ascii="Times New Roman" w:eastAsia="標楷體" w:hAnsi="Times New Roman" w:cs="Times New Roman"/>
          <w:b/>
          <w:bCs/>
          <w:color w:val="000000" w:themeColor="text1"/>
          <w:sz w:val="28"/>
          <w:szCs w:val="28"/>
        </w:rPr>
      </w:pPr>
      <w:r w:rsidRPr="00B538C3">
        <w:rPr>
          <w:rFonts w:ascii="Times New Roman" w:eastAsia="標楷體" w:hAnsi="Times New Roman" w:cs="Times New Roman" w:hint="eastAsia"/>
          <w:b/>
          <w:bCs/>
          <w:color w:val="000000" w:themeColor="text1"/>
          <w:sz w:val="28"/>
          <w:szCs w:val="28"/>
        </w:rPr>
        <w:t>【</w:t>
      </w:r>
      <w:r w:rsidR="002C473F" w:rsidRPr="002C473F">
        <w:rPr>
          <w:rFonts w:ascii="Times New Roman" w:eastAsia="標楷體" w:hAnsi="Times New Roman" w:cs="Times New Roman"/>
          <w:b/>
          <w:bCs/>
          <w:color w:val="000000" w:themeColor="text1"/>
          <w:sz w:val="28"/>
          <w:szCs w:val="28"/>
        </w:rPr>
        <w:t>美國就業市場轉趨觀望，低裁員與招聘停滯並存</w:t>
      </w:r>
      <w:r w:rsidRPr="00B538C3">
        <w:rPr>
          <w:rFonts w:ascii="Times New Roman" w:eastAsia="標楷體" w:hAnsi="Times New Roman" w:cs="Times New Roman" w:hint="eastAsia"/>
          <w:b/>
          <w:bCs/>
          <w:color w:val="000000" w:themeColor="text1"/>
          <w:sz w:val="28"/>
          <w:szCs w:val="28"/>
        </w:rPr>
        <w:t>】</w:t>
      </w:r>
    </w:p>
    <w:p w14:paraId="31D339B0" w14:textId="04C20456" w:rsidR="009726E8" w:rsidRDefault="002C473F" w:rsidP="002C473F">
      <w:pPr>
        <w:spacing w:line="500" w:lineRule="exact"/>
        <w:ind w:leftChars="117" w:left="281" w:firstLineChars="200" w:firstLine="560"/>
        <w:jc w:val="both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根據美國勞工部公布數據顯示，截至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4/11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當周，初領失業金人數減少至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20.7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萬人，低於預期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(21.5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萬人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)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並創下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近月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以來最大降幅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；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續領失業金人數則由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178.7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萬人增加至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181.8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萬人。儘管續領失業金人數增加，顯示失業者尋找新工作的週期延長，但低水平的初領數據反映企業裁員規模目前仍然有限。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整體而言，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現階段勞動力市場呈現不招也不裁的觀望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態度。值得注意的是，</w:t>
      </w:r>
      <w:r w:rsidRPr="002C473F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自</w:t>
      </w:r>
      <w:r w:rsidRPr="002C473F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2</w:t>
      </w:r>
      <w:r w:rsidRPr="002C473F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月底中東戰事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爆發以來</w:t>
      </w:r>
      <w:r w:rsidRPr="002C473F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，能源成本累計上漲逾</w:t>
      </w:r>
      <w:r w:rsidRPr="002C473F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35%</w:t>
      </w:r>
      <w:r w:rsidRPr="002C473F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，已對企業營運</w:t>
      </w:r>
      <w:r w:rsidR="0069444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造成</w:t>
      </w:r>
      <w:r w:rsidRPr="002C473F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壓力，</w:t>
      </w:r>
      <w:r w:rsidR="00694449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並</w:t>
      </w:r>
      <w:r w:rsidRPr="002C473F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進一步壓抑招聘意願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。分析指出，在不確定性消退前，就業市場短期內</w:t>
      </w:r>
      <w:r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恐</w:t>
      </w:r>
      <w:r w:rsidRPr="002C473F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維持凍結狀態，</w:t>
      </w:r>
      <w:r w:rsidR="009726E8" w:rsidRPr="009726E8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低裁員所支撐的勞動市場韌性，是否足以抵銷招聘動能不足對</w:t>
      </w:r>
      <w:r w:rsidR="009726E8" w:rsidRPr="009726E8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lastRenderedPageBreak/>
        <w:t>經濟的拖累</w:t>
      </w:r>
      <w:r w:rsidR="000C31B3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仍待觀察</w:t>
      </w:r>
      <w:r w:rsidR="009726E8" w:rsidRPr="009726E8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。</w:t>
      </w:r>
      <w:bookmarkEnd w:id="0"/>
    </w:p>
    <w:p w14:paraId="43C4D30A" w14:textId="58CB4B61" w:rsidR="00D00668" w:rsidRPr="005E4DF0" w:rsidRDefault="009726E8" w:rsidP="00056001">
      <w:pPr>
        <w:pStyle w:val="1"/>
      </w:pPr>
      <w:r w:rsidRPr="00056001">
        <w:rPr>
          <w:rFonts w:ascii="標楷體" w:eastAsia="標楷體" w:hAnsi="標楷體" w:hint="eastAsia"/>
          <w:color w:val="000000" w:themeColor="text1"/>
          <w:sz w:val="32"/>
          <w:szCs w:val="32"/>
        </w:rPr>
        <w:t>二</w:t>
      </w:r>
      <w:r w:rsidRPr="00056001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、</w:t>
      </w:r>
      <w:r w:rsidR="00F00B27" w:rsidRPr="00056001">
        <w:rPr>
          <w:rFonts w:ascii="標楷體" w:eastAsia="標楷體" w:hAnsi="標楷體"/>
          <w:b/>
          <w:bCs/>
          <w:color w:val="000000" w:themeColor="text1"/>
          <w:sz w:val="32"/>
          <w:szCs w:val="32"/>
        </w:rPr>
        <w:t>市場摘要</w:t>
      </w:r>
    </w:p>
    <w:p w14:paraId="3909AD69" w14:textId="499567D6" w:rsidR="00F00B27" w:rsidRPr="00056001" w:rsidRDefault="00F00B27" w:rsidP="00056001">
      <w:pPr>
        <w:pStyle w:val="2"/>
        <w:numPr>
          <w:ilvl w:val="0"/>
          <w:numId w:val="13"/>
        </w:numPr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r w:rsidRPr="00056001">
        <w:rPr>
          <w:rFonts w:ascii="標楷體" w:eastAsia="標楷體" w:hAnsi="標楷體"/>
          <w:b/>
          <w:bCs/>
          <w:color w:val="000000" w:themeColor="text1"/>
          <w:sz w:val="28"/>
          <w:szCs w:val="28"/>
        </w:rPr>
        <w:t>股</w:t>
      </w:r>
      <w:r w:rsidR="003D03E8" w:rsidRPr="00056001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市</w:t>
      </w:r>
    </w:p>
    <w:p w14:paraId="04A9FCC1" w14:textId="6CD9897C" w:rsidR="002C0DA2" w:rsidRPr="00056001" w:rsidRDefault="005D2968" w:rsidP="00056001">
      <w:pPr>
        <w:spacing w:line="500" w:lineRule="exact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美國總統川普釋出美伊接近達成協議的訊號，加上以色列與黎巴嫩同意暫時停火，中東局勢明顯出現緩和跡象。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終場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4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大指數</w:t>
      </w:r>
      <w:r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全數收漲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。道瓊指數</w:t>
      </w:r>
      <w:r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上漲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115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點，或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0.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24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%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，收在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48,5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79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點，那斯達克指數上漲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87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點，或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0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.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36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%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，收在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2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4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,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103</w:t>
      </w:r>
      <w:r w:rsidR="002C0DA2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點，。</w:t>
      </w:r>
    </w:p>
    <w:tbl>
      <w:tblPr>
        <w:tblStyle w:val="41"/>
        <w:tblW w:w="8206" w:type="dxa"/>
        <w:tblInd w:w="536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</w:tblBorders>
        <w:tblLook w:val="04A0" w:firstRow="1" w:lastRow="0" w:firstColumn="1" w:lastColumn="0" w:noHBand="0" w:noVBand="1"/>
      </w:tblPr>
      <w:tblGrid>
        <w:gridCol w:w="1708"/>
        <w:gridCol w:w="692"/>
        <w:gridCol w:w="756"/>
        <w:gridCol w:w="1246"/>
        <w:gridCol w:w="1108"/>
        <w:gridCol w:w="1247"/>
        <w:gridCol w:w="993"/>
        <w:gridCol w:w="456"/>
      </w:tblGrid>
      <w:tr w:rsidR="000C31B3" w:rsidRPr="000C31B3" w14:paraId="4D36E9EE" w14:textId="77777777" w:rsidTr="002F60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noWrap/>
            <w:hideMark/>
          </w:tcPr>
          <w:p w14:paraId="4A41E0B4" w14:textId="27259910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道瓊工業指數</w:t>
            </w:r>
          </w:p>
        </w:tc>
        <w:tc>
          <w:tcPr>
            <w:tcW w:w="692" w:type="dxa"/>
            <w:noWrap/>
          </w:tcPr>
          <w:p w14:paraId="5C56485C" w14:textId="54033033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漲</w:t>
            </w:r>
          </w:p>
        </w:tc>
        <w:tc>
          <w:tcPr>
            <w:tcW w:w="756" w:type="dxa"/>
            <w:noWrap/>
          </w:tcPr>
          <w:p w14:paraId="7522CBA2" w14:textId="1D90398E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 xml:space="preserve">115 </w:t>
            </w:r>
          </w:p>
        </w:tc>
        <w:tc>
          <w:tcPr>
            <w:tcW w:w="1246" w:type="dxa"/>
            <w:noWrap/>
          </w:tcPr>
          <w:p w14:paraId="52EAFA5D" w14:textId="3B87AA21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點，或</w:t>
            </w:r>
          </w:p>
        </w:tc>
        <w:tc>
          <w:tcPr>
            <w:tcW w:w="1108" w:type="dxa"/>
            <w:noWrap/>
          </w:tcPr>
          <w:p w14:paraId="1B93AD03" w14:textId="4E8449F1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 xml:space="preserve">0.24 </w:t>
            </w:r>
          </w:p>
        </w:tc>
        <w:tc>
          <w:tcPr>
            <w:tcW w:w="1247" w:type="dxa"/>
            <w:noWrap/>
          </w:tcPr>
          <w:p w14:paraId="0B60FCCC" w14:textId="06240795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%</w:t>
            </w: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，收</w:t>
            </w:r>
          </w:p>
        </w:tc>
        <w:tc>
          <w:tcPr>
            <w:tcW w:w="993" w:type="dxa"/>
          </w:tcPr>
          <w:p w14:paraId="22CED423" w14:textId="4FE5E443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 xml:space="preserve">48,579 </w:t>
            </w:r>
          </w:p>
        </w:tc>
        <w:tc>
          <w:tcPr>
            <w:tcW w:w="456" w:type="dxa"/>
          </w:tcPr>
          <w:p w14:paraId="73ACF4C4" w14:textId="6AA01C67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點</w:t>
            </w:r>
          </w:p>
        </w:tc>
      </w:tr>
      <w:tr w:rsidR="000C31B3" w:rsidRPr="000C31B3" w14:paraId="5FEA129D" w14:textId="77777777" w:rsidTr="002F6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noWrap/>
            <w:hideMark/>
          </w:tcPr>
          <w:p w14:paraId="4EB92A80" w14:textId="7DA850AE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那斯達克指數</w:t>
            </w:r>
          </w:p>
        </w:tc>
        <w:tc>
          <w:tcPr>
            <w:tcW w:w="692" w:type="dxa"/>
            <w:noWrap/>
          </w:tcPr>
          <w:p w14:paraId="30A03E94" w14:textId="609C93BC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漲</w:t>
            </w:r>
          </w:p>
        </w:tc>
        <w:tc>
          <w:tcPr>
            <w:tcW w:w="756" w:type="dxa"/>
            <w:noWrap/>
          </w:tcPr>
          <w:p w14:paraId="0E8D7196" w14:textId="323F3346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87 </w:t>
            </w:r>
          </w:p>
        </w:tc>
        <w:tc>
          <w:tcPr>
            <w:tcW w:w="1246" w:type="dxa"/>
            <w:noWrap/>
          </w:tcPr>
          <w:p w14:paraId="634B3559" w14:textId="109427D5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點，或</w:t>
            </w:r>
          </w:p>
        </w:tc>
        <w:tc>
          <w:tcPr>
            <w:tcW w:w="1108" w:type="dxa"/>
            <w:noWrap/>
          </w:tcPr>
          <w:p w14:paraId="574A7777" w14:textId="16F7B39D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0.36 </w:t>
            </w:r>
          </w:p>
        </w:tc>
        <w:tc>
          <w:tcPr>
            <w:tcW w:w="1247" w:type="dxa"/>
            <w:noWrap/>
          </w:tcPr>
          <w:p w14:paraId="5ED5EBCB" w14:textId="4F11B309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%</w:t>
            </w:r>
            <w:r w:rsidRPr="000C31B3">
              <w:rPr>
                <w:rFonts w:ascii="Times New Roman" w:eastAsia="標楷體" w:hAnsi="Times New Roman" w:cs="Times New Roman"/>
              </w:rPr>
              <w:t>，收</w:t>
            </w:r>
          </w:p>
        </w:tc>
        <w:tc>
          <w:tcPr>
            <w:tcW w:w="993" w:type="dxa"/>
          </w:tcPr>
          <w:p w14:paraId="4FC3A33C" w14:textId="3C2EA8FC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24,103 </w:t>
            </w:r>
          </w:p>
        </w:tc>
        <w:tc>
          <w:tcPr>
            <w:tcW w:w="456" w:type="dxa"/>
          </w:tcPr>
          <w:p w14:paraId="1F5A227F" w14:textId="09D59FE2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點</w:t>
            </w:r>
          </w:p>
        </w:tc>
      </w:tr>
      <w:tr w:rsidR="000C31B3" w:rsidRPr="000C31B3" w14:paraId="7E672751" w14:textId="77777777" w:rsidTr="002F606F">
        <w:trPr>
          <w:trHeight w:hRule="exact"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noWrap/>
            <w:hideMark/>
          </w:tcPr>
          <w:p w14:paraId="31D8FEE2" w14:textId="74B6432D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法蘭克福指數</w:t>
            </w:r>
          </w:p>
        </w:tc>
        <w:tc>
          <w:tcPr>
            <w:tcW w:w="692" w:type="dxa"/>
            <w:noWrap/>
          </w:tcPr>
          <w:p w14:paraId="6CB6E284" w14:textId="0DC622FA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漲</w:t>
            </w:r>
          </w:p>
        </w:tc>
        <w:tc>
          <w:tcPr>
            <w:tcW w:w="756" w:type="dxa"/>
            <w:noWrap/>
          </w:tcPr>
          <w:p w14:paraId="3F1CC78E" w14:textId="6218E1B9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87 </w:t>
            </w:r>
          </w:p>
        </w:tc>
        <w:tc>
          <w:tcPr>
            <w:tcW w:w="1246" w:type="dxa"/>
            <w:noWrap/>
          </w:tcPr>
          <w:p w14:paraId="4E20781D" w14:textId="42EFFAC3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點，或</w:t>
            </w:r>
          </w:p>
        </w:tc>
        <w:tc>
          <w:tcPr>
            <w:tcW w:w="1108" w:type="dxa"/>
            <w:noWrap/>
          </w:tcPr>
          <w:p w14:paraId="4EACCF18" w14:textId="7801B9EA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0.36 </w:t>
            </w:r>
          </w:p>
        </w:tc>
        <w:tc>
          <w:tcPr>
            <w:tcW w:w="1247" w:type="dxa"/>
            <w:noWrap/>
          </w:tcPr>
          <w:p w14:paraId="5691AE66" w14:textId="23202174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%</w:t>
            </w:r>
            <w:r w:rsidRPr="000C31B3">
              <w:rPr>
                <w:rFonts w:ascii="Times New Roman" w:eastAsia="標楷體" w:hAnsi="Times New Roman" w:cs="Times New Roman"/>
              </w:rPr>
              <w:t>，收</w:t>
            </w:r>
          </w:p>
        </w:tc>
        <w:tc>
          <w:tcPr>
            <w:tcW w:w="993" w:type="dxa"/>
          </w:tcPr>
          <w:p w14:paraId="2DDC615D" w14:textId="5AF1A499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24,154 </w:t>
            </w:r>
          </w:p>
        </w:tc>
        <w:tc>
          <w:tcPr>
            <w:tcW w:w="456" w:type="dxa"/>
          </w:tcPr>
          <w:p w14:paraId="7A8FEC3F" w14:textId="747361DD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點</w:t>
            </w:r>
          </w:p>
        </w:tc>
      </w:tr>
      <w:tr w:rsidR="000C31B3" w:rsidRPr="000C31B3" w14:paraId="2A7562DC" w14:textId="77777777" w:rsidTr="002F60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noWrap/>
            <w:hideMark/>
          </w:tcPr>
          <w:p w14:paraId="565C4722" w14:textId="4E1303E6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英國富時指數</w:t>
            </w:r>
          </w:p>
        </w:tc>
        <w:tc>
          <w:tcPr>
            <w:tcW w:w="692" w:type="dxa"/>
            <w:noWrap/>
          </w:tcPr>
          <w:p w14:paraId="2D21D52B" w14:textId="12D5EF1E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漲</w:t>
            </w:r>
          </w:p>
        </w:tc>
        <w:tc>
          <w:tcPr>
            <w:tcW w:w="756" w:type="dxa"/>
            <w:noWrap/>
          </w:tcPr>
          <w:p w14:paraId="05FBA918" w14:textId="0D70C02D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30 </w:t>
            </w:r>
          </w:p>
        </w:tc>
        <w:tc>
          <w:tcPr>
            <w:tcW w:w="1246" w:type="dxa"/>
            <w:noWrap/>
          </w:tcPr>
          <w:p w14:paraId="2292A25C" w14:textId="5EF5E113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點，或</w:t>
            </w:r>
          </w:p>
        </w:tc>
        <w:tc>
          <w:tcPr>
            <w:tcW w:w="1108" w:type="dxa"/>
            <w:noWrap/>
          </w:tcPr>
          <w:p w14:paraId="6E6B7671" w14:textId="3A0BF6D7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0.29 </w:t>
            </w:r>
          </w:p>
        </w:tc>
        <w:tc>
          <w:tcPr>
            <w:tcW w:w="1247" w:type="dxa"/>
            <w:noWrap/>
          </w:tcPr>
          <w:p w14:paraId="2BABB0C8" w14:textId="1ECA750F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%</w:t>
            </w:r>
            <w:r w:rsidRPr="000C31B3">
              <w:rPr>
                <w:rFonts w:ascii="Times New Roman" w:eastAsia="標楷體" w:hAnsi="Times New Roman" w:cs="Times New Roman"/>
              </w:rPr>
              <w:t>，收</w:t>
            </w:r>
          </w:p>
        </w:tc>
        <w:tc>
          <w:tcPr>
            <w:tcW w:w="993" w:type="dxa"/>
          </w:tcPr>
          <w:p w14:paraId="74A9B980" w14:textId="1C4DA9D1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10,590 </w:t>
            </w:r>
          </w:p>
        </w:tc>
        <w:tc>
          <w:tcPr>
            <w:tcW w:w="456" w:type="dxa"/>
          </w:tcPr>
          <w:p w14:paraId="2E3E6354" w14:textId="2C68171F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點</w:t>
            </w:r>
          </w:p>
        </w:tc>
      </w:tr>
      <w:tr w:rsidR="000C31B3" w:rsidRPr="000C31B3" w14:paraId="6A89A7BD" w14:textId="77777777" w:rsidTr="002F606F">
        <w:trPr>
          <w:trHeight w:val="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8" w:type="dxa"/>
            <w:noWrap/>
          </w:tcPr>
          <w:p w14:paraId="745E677D" w14:textId="65E74C8D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日經平均指數</w:t>
            </w:r>
          </w:p>
        </w:tc>
        <w:tc>
          <w:tcPr>
            <w:tcW w:w="692" w:type="dxa"/>
            <w:noWrap/>
          </w:tcPr>
          <w:p w14:paraId="64B510E2" w14:textId="7DCCF68C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漲</w:t>
            </w:r>
          </w:p>
        </w:tc>
        <w:tc>
          <w:tcPr>
            <w:tcW w:w="756" w:type="dxa"/>
            <w:noWrap/>
          </w:tcPr>
          <w:p w14:paraId="11558C4A" w14:textId="21FE1A87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1,384 </w:t>
            </w:r>
          </w:p>
        </w:tc>
        <w:tc>
          <w:tcPr>
            <w:tcW w:w="1246" w:type="dxa"/>
            <w:noWrap/>
          </w:tcPr>
          <w:p w14:paraId="19F3B2B9" w14:textId="0D8F0CE8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點，或</w:t>
            </w:r>
          </w:p>
        </w:tc>
        <w:tc>
          <w:tcPr>
            <w:tcW w:w="1108" w:type="dxa"/>
            <w:noWrap/>
          </w:tcPr>
          <w:p w14:paraId="351C33C2" w14:textId="3F71C64A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2.38 </w:t>
            </w:r>
          </w:p>
        </w:tc>
        <w:tc>
          <w:tcPr>
            <w:tcW w:w="1247" w:type="dxa"/>
            <w:noWrap/>
          </w:tcPr>
          <w:p w14:paraId="15FA5712" w14:textId="0C22382E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%</w:t>
            </w:r>
            <w:r w:rsidRPr="000C31B3">
              <w:rPr>
                <w:rFonts w:ascii="Times New Roman" w:eastAsia="標楷體" w:hAnsi="Times New Roman" w:cs="Times New Roman"/>
              </w:rPr>
              <w:t>，收</w:t>
            </w:r>
          </w:p>
        </w:tc>
        <w:tc>
          <w:tcPr>
            <w:tcW w:w="993" w:type="dxa"/>
          </w:tcPr>
          <w:p w14:paraId="3FEB0CDB" w14:textId="6EACF3F0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59,518 </w:t>
            </w:r>
          </w:p>
        </w:tc>
        <w:tc>
          <w:tcPr>
            <w:tcW w:w="456" w:type="dxa"/>
          </w:tcPr>
          <w:p w14:paraId="3758F3B1" w14:textId="2353ED8E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點</w:t>
            </w:r>
          </w:p>
        </w:tc>
      </w:tr>
    </w:tbl>
    <w:p w14:paraId="170FEC13" w14:textId="3DF42011" w:rsidR="00360D84" w:rsidRPr="00056001" w:rsidRDefault="00D36B5D" w:rsidP="00056001">
      <w:pPr>
        <w:pStyle w:val="2"/>
        <w:numPr>
          <w:ilvl w:val="0"/>
          <w:numId w:val="13"/>
        </w:numPr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r w:rsidRPr="00056001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匯市</w:t>
      </w:r>
    </w:p>
    <w:p w14:paraId="117C1AF6" w14:textId="336B01E5" w:rsidR="00360D84" w:rsidRPr="00056001" w:rsidRDefault="00C5743B" w:rsidP="00056001">
      <w:pPr>
        <w:spacing w:line="500" w:lineRule="exact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投資人靜待美伊和談進展，美元連日下跌後出現技術性反彈，對主要貨幣全面走升，上漲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0.16%</w:t>
      </w:r>
      <w:r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，收在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98.22</w:t>
      </w:r>
      <w:r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。</w:t>
      </w:r>
    </w:p>
    <w:tbl>
      <w:tblPr>
        <w:tblStyle w:val="41"/>
        <w:tblpPr w:leftFromText="180" w:rightFromText="180" w:vertAnchor="text" w:horzAnchor="margin" w:tblpXSpec="center" w:tblpY="13"/>
        <w:tblW w:w="7650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457"/>
        <w:gridCol w:w="1134"/>
        <w:gridCol w:w="1134"/>
        <w:gridCol w:w="1385"/>
        <w:gridCol w:w="1985"/>
      </w:tblGrid>
      <w:tr w:rsidR="000C31B3" w:rsidRPr="000C31B3" w14:paraId="692DD919" w14:textId="77777777" w:rsidTr="00900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hideMark/>
          </w:tcPr>
          <w:p w14:paraId="4F56897D" w14:textId="2420DBAD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美元指數</w:t>
            </w:r>
          </w:p>
        </w:tc>
        <w:tc>
          <w:tcPr>
            <w:tcW w:w="457" w:type="dxa"/>
            <w:noWrap/>
          </w:tcPr>
          <w:p w14:paraId="45E56663" w14:textId="3B44D354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升</w:t>
            </w:r>
          </w:p>
        </w:tc>
        <w:tc>
          <w:tcPr>
            <w:tcW w:w="1134" w:type="dxa"/>
            <w:noWrap/>
          </w:tcPr>
          <w:p w14:paraId="0C95C5F9" w14:textId="00BD24BE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 xml:space="preserve">0.16 </w:t>
            </w:r>
          </w:p>
        </w:tc>
        <w:tc>
          <w:tcPr>
            <w:tcW w:w="1134" w:type="dxa"/>
            <w:noWrap/>
          </w:tcPr>
          <w:p w14:paraId="68D8AB69" w14:textId="28E0699E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%</w:t>
            </w: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，收</w:t>
            </w:r>
          </w:p>
        </w:tc>
        <w:tc>
          <w:tcPr>
            <w:tcW w:w="1385" w:type="dxa"/>
            <w:noWrap/>
          </w:tcPr>
          <w:p w14:paraId="5B34BFB2" w14:textId="7B202B40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 xml:space="preserve">98.22 </w:t>
            </w:r>
          </w:p>
        </w:tc>
        <w:tc>
          <w:tcPr>
            <w:tcW w:w="1985" w:type="dxa"/>
            <w:noWrap/>
          </w:tcPr>
          <w:p w14:paraId="11AB06BA" w14:textId="77777777" w:rsidR="000C31B3" w:rsidRPr="000C31B3" w:rsidRDefault="000C31B3" w:rsidP="000C31B3">
            <w:pPr>
              <w:tabs>
                <w:tab w:val="left" w:pos="2552"/>
              </w:tabs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b w:val="0"/>
                <w:bCs w:val="0"/>
              </w:rPr>
            </w:pPr>
          </w:p>
        </w:tc>
      </w:tr>
      <w:tr w:rsidR="000C31B3" w:rsidRPr="000C31B3" w14:paraId="29EE6B94" w14:textId="77777777" w:rsidTr="0090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hideMark/>
          </w:tcPr>
          <w:p w14:paraId="1EEE7185" w14:textId="4BEC26D6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歐元兌美元</w:t>
            </w:r>
          </w:p>
        </w:tc>
        <w:tc>
          <w:tcPr>
            <w:tcW w:w="457" w:type="dxa"/>
            <w:noWrap/>
          </w:tcPr>
          <w:p w14:paraId="3C85C233" w14:textId="771894E8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貶</w:t>
            </w:r>
          </w:p>
        </w:tc>
        <w:tc>
          <w:tcPr>
            <w:tcW w:w="1134" w:type="dxa"/>
            <w:noWrap/>
          </w:tcPr>
          <w:p w14:paraId="7277F1EB" w14:textId="23560F13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0.14 </w:t>
            </w:r>
          </w:p>
        </w:tc>
        <w:tc>
          <w:tcPr>
            <w:tcW w:w="1134" w:type="dxa"/>
            <w:noWrap/>
          </w:tcPr>
          <w:p w14:paraId="7E88CAF0" w14:textId="37C09751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%</w:t>
            </w:r>
            <w:r w:rsidRPr="000C31B3">
              <w:rPr>
                <w:rFonts w:ascii="Times New Roman" w:eastAsia="標楷體" w:hAnsi="Times New Roman" w:cs="Times New Roman"/>
              </w:rPr>
              <w:t>，收</w:t>
            </w:r>
          </w:p>
        </w:tc>
        <w:tc>
          <w:tcPr>
            <w:tcW w:w="1385" w:type="dxa"/>
            <w:noWrap/>
          </w:tcPr>
          <w:p w14:paraId="60DE6214" w14:textId="4498FAD6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FF0000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1.1781 </w:t>
            </w:r>
          </w:p>
        </w:tc>
        <w:tc>
          <w:tcPr>
            <w:tcW w:w="1985" w:type="dxa"/>
            <w:noWrap/>
          </w:tcPr>
          <w:p w14:paraId="4E659413" w14:textId="77BFD1E7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美元</w:t>
            </w:r>
          </w:p>
        </w:tc>
      </w:tr>
      <w:tr w:rsidR="000C31B3" w:rsidRPr="000C31B3" w14:paraId="0156F766" w14:textId="77777777" w:rsidTr="009004EE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hideMark/>
          </w:tcPr>
          <w:p w14:paraId="3AA1DBF7" w14:textId="1C3BD2B9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英鎊兌美元</w:t>
            </w:r>
          </w:p>
        </w:tc>
        <w:tc>
          <w:tcPr>
            <w:tcW w:w="457" w:type="dxa"/>
            <w:noWrap/>
          </w:tcPr>
          <w:p w14:paraId="6E806C58" w14:textId="7BFA0814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貶</w:t>
            </w:r>
          </w:p>
        </w:tc>
        <w:tc>
          <w:tcPr>
            <w:tcW w:w="1134" w:type="dxa"/>
            <w:noWrap/>
          </w:tcPr>
          <w:p w14:paraId="4FC94F19" w14:textId="372056FE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0.25 </w:t>
            </w:r>
          </w:p>
        </w:tc>
        <w:tc>
          <w:tcPr>
            <w:tcW w:w="1134" w:type="dxa"/>
            <w:noWrap/>
          </w:tcPr>
          <w:p w14:paraId="78EC57E8" w14:textId="5E27C6F4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%</w:t>
            </w:r>
            <w:r w:rsidRPr="000C31B3">
              <w:rPr>
                <w:rFonts w:ascii="Times New Roman" w:eastAsia="標楷體" w:hAnsi="Times New Roman" w:cs="Times New Roman"/>
              </w:rPr>
              <w:t>，收</w:t>
            </w:r>
          </w:p>
        </w:tc>
        <w:tc>
          <w:tcPr>
            <w:tcW w:w="1385" w:type="dxa"/>
            <w:noWrap/>
          </w:tcPr>
          <w:p w14:paraId="1DF559B7" w14:textId="59EBCDAD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FF0000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1.3524 </w:t>
            </w:r>
          </w:p>
        </w:tc>
        <w:tc>
          <w:tcPr>
            <w:tcW w:w="1985" w:type="dxa"/>
            <w:noWrap/>
          </w:tcPr>
          <w:p w14:paraId="687F93D3" w14:textId="603770EA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美元</w:t>
            </w:r>
          </w:p>
        </w:tc>
      </w:tr>
      <w:tr w:rsidR="000C31B3" w:rsidRPr="000C31B3" w14:paraId="6CC12DAB" w14:textId="77777777" w:rsidTr="00900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  <w:hideMark/>
          </w:tcPr>
          <w:p w14:paraId="005DAD32" w14:textId="237C7201" w:rsidR="000C31B3" w:rsidRPr="000C31B3" w:rsidRDefault="000C31B3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  <w:b w:val="0"/>
                <w:bCs w:val="0"/>
              </w:rPr>
            </w:pPr>
            <w:r w:rsidRPr="000C31B3">
              <w:rPr>
                <w:rFonts w:ascii="Times New Roman" w:eastAsia="標楷體" w:hAnsi="Times New Roman" w:cs="Times New Roman"/>
                <w:b w:val="0"/>
                <w:bCs w:val="0"/>
              </w:rPr>
              <w:t>美元兌日圓</w:t>
            </w:r>
          </w:p>
        </w:tc>
        <w:tc>
          <w:tcPr>
            <w:tcW w:w="457" w:type="dxa"/>
            <w:noWrap/>
          </w:tcPr>
          <w:p w14:paraId="24C9FFEE" w14:textId="23A24D1F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升</w:t>
            </w:r>
          </w:p>
        </w:tc>
        <w:tc>
          <w:tcPr>
            <w:tcW w:w="1134" w:type="dxa"/>
            <w:noWrap/>
          </w:tcPr>
          <w:p w14:paraId="746C053D" w14:textId="479EE55C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0.14 </w:t>
            </w:r>
          </w:p>
        </w:tc>
        <w:tc>
          <w:tcPr>
            <w:tcW w:w="1134" w:type="dxa"/>
            <w:noWrap/>
          </w:tcPr>
          <w:p w14:paraId="6F11FD4D" w14:textId="5075013B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%</w:t>
            </w:r>
            <w:r w:rsidRPr="000C31B3">
              <w:rPr>
                <w:rFonts w:ascii="Times New Roman" w:eastAsia="標楷體" w:hAnsi="Times New Roman" w:cs="Times New Roman"/>
              </w:rPr>
              <w:t>，收</w:t>
            </w:r>
          </w:p>
        </w:tc>
        <w:tc>
          <w:tcPr>
            <w:tcW w:w="1385" w:type="dxa"/>
            <w:noWrap/>
          </w:tcPr>
          <w:p w14:paraId="202F74D3" w14:textId="7946492A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FF0000"/>
              </w:rPr>
            </w:pPr>
            <w:r w:rsidRPr="000C31B3">
              <w:rPr>
                <w:rFonts w:ascii="Times New Roman" w:eastAsia="標楷體" w:hAnsi="Times New Roman" w:cs="Times New Roman"/>
              </w:rPr>
              <w:t xml:space="preserve">159.18 </w:t>
            </w:r>
          </w:p>
        </w:tc>
        <w:tc>
          <w:tcPr>
            <w:tcW w:w="1985" w:type="dxa"/>
            <w:noWrap/>
          </w:tcPr>
          <w:p w14:paraId="57A19440" w14:textId="601ADED7" w:rsidR="000C31B3" w:rsidRPr="000C31B3" w:rsidRDefault="000C31B3" w:rsidP="000C31B3">
            <w:pPr>
              <w:tabs>
                <w:tab w:val="left" w:pos="2552"/>
              </w:tabs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  <w:r w:rsidRPr="000C31B3">
              <w:rPr>
                <w:rFonts w:ascii="Times New Roman" w:eastAsia="標楷體" w:hAnsi="Times New Roman" w:cs="Times New Roman"/>
              </w:rPr>
              <w:t>日圓</w:t>
            </w:r>
          </w:p>
        </w:tc>
      </w:tr>
      <w:tr w:rsidR="00056001" w:rsidRPr="000C31B3" w14:paraId="6DC8B64E" w14:textId="77777777" w:rsidTr="009004E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noWrap/>
          </w:tcPr>
          <w:p w14:paraId="074E2BD0" w14:textId="77777777" w:rsidR="00056001" w:rsidRPr="000C31B3" w:rsidRDefault="00056001" w:rsidP="000C31B3">
            <w:pPr>
              <w:tabs>
                <w:tab w:val="left" w:pos="2552"/>
              </w:tabs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57" w:type="dxa"/>
            <w:noWrap/>
          </w:tcPr>
          <w:p w14:paraId="5CF37A97" w14:textId="77777777" w:rsidR="00056001" w:rsidRPr="000C31B3" w:rsidRDefault="00056001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4" w:type="dxa"/>
            <w:noWrap/>
          </w:tcPr>
          <w:p w14:paraId="03B2DD42" w14:textId="77777777" w:rsidR="00056001" w:rsidRPr="000C31B3" w:rsidRDefault="00056001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4" w:type="dxa"/>
            <w:noWrap/>
          </w:tcPr>
          <w:p w14:paraId="7FDEDDC0" w14:textId="77777777" w:rsidR="00056001" w:rsidRPr="000C31B3" w:rsidRDefault="00056001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385" w:type="dxa"/>
            <w:noWrap/>
          </w:tcPr>
          <w:p w14:paraId="23EE1878" w14:textId="77777777" w:rsidR="00056001" w:rsidRPr="000C31B3" w:rsidRDefault="00056001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985" w:type="dxa"/>
            <w:noWrap/>
          </w:tcPr>
          <w:p w14:paraId="002D880B" w14:textId="77777777" w:rsidR="00056001" w:rsidRPr="000C31B3" w:rsidRDefault="00056001" w:rsidP="000C31B3">
            <w:pPr>
              <w:tabs>
                <w:tab w:val="left" w:pos="2552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15F21C73" w14:textId="77777777" w:rsidR="00C5743B" w:rsidRPr="00056001" w:rsidRDefault="00C5743B" w:rsidP="00056001">
      <w:pPr>
        <w:pStyle w:val="2"/>
        <w:numPr>
          <w:ilvl w:val="0"/>
          <w:numId w:val="13"/>
        </w:numPr>
        <w:rPr>
          <w:rFonts w:ascii="標楷體" w:eastAsia="標楷體" w:hAnsi="標楷體"/>
          <w:b/>
          <w:bCs/>
          <w:color w:val="000000" w:themeColor="text1"/>
          <w:sz w:val="28"/>
          <w:szCs w:val="28"/>
        </w:rPr>
      </w:pPr>
      <w:r w:rsidRPr="00056001">
        <w:rPr>
          <w:rFonts w:ascii="標楷體" w:eastAsia="標楷體" w:hAnsi="標楷體" w:hint="eastAsia"/>
          <w:b/>
          <w:bCs/>
          <w:color w:val="000000" w:themeColor="text1"/>
          <w:sz w:val="28"/>
          <w:szCs w:val="28"/>
        </w:rPr>
        <w:t>債市：</w:t>
      </w:r>
    </w:p>
    <w:p w14:paraId="144F87AA" w14:textId="34DB51B1" w:rsidR="00994320" w:rsidRPr="00056001" w:rsidRDefault="00F4107D" w:rsidP="00056001">
      <w:pPr>
        <w:spacing w:line="500" w:lineRule="exact"/>
        <w:rPr>
          <w:rFonts w:ascii="Times New Roman" w:eastAsia="標楷體" w:hAnsi="Times New Roman" w:cs="Times New Roman"/>
          <w:color w:val="000000" w:themeColor="text1"/>
          <w:sz w:val="28"/>
          <w:szCs w:val="28"/>
        </w:rPr>
      </w:pPr>
      <w:r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聯準會官員</w:t>
      </w:r>
      <w:r w:rsidR="00C5743B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威廉斯指出，中東衝突推升通膨壓力，強化市場對通膨再度升溫的預期</w:t>
      </w:r>
      <w:r w:rsidR="00C5743B" w:rsidRPr="00056001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，美國</w:t>
      </w:r>
      <w:r w:rsidR="00C5743B" w:rsidRPr="00056001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10</w:t>
      </w:r>
      <w:r w:rsidR="00C5743B" w:rsidRPr="00056001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年期公債殖利率上漲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3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個</w:t>
      </w:r>
      <w:r w:rsidR="00C5743B" w:rsidRPr="00056001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BP</w:t>
      </w:r>
      <w:r w:rsidR="00C5743B" w:rsidRPr="00056001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，收在</w:t>
      </w:r>
      <w:r w:rsidR="000C31B3" w:rsidRPr="00056001">
        <w:rPr>
          <w:rFonts w:ascii="Times New Roman" w:eastAsia="標楷體" w:hAnsi="Times New Roman" w:cs="Times New Roman" w:hint="eastAsia"/>
          <w:color w:val="000000" w:themeColor="text1"/>
          <w:sz w:val="28"/>
          <w:szCs w:val="28"/>
        </w:rPr>
        <w:t>4.309</w:t>
      </w:r>
      <w:r w:rsidR="00C5743B" w:rsidRPr="00056001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%</w:t>
      </w:r>
      <w:r w:rsidR="00C5743B" w:rsidRPr="00056001">
        <w:rPr>
          <w:rFonts w:ascii="Times New Roman" w:eastAsia="標楷體" w:hAnsi="Times New Roman" w:cs="Times New Roman"/>
          <w:color w:val="000000" w:themeColor="text1"/>
          <w:sz w:val="28"/>
          <w:szCs w:val="28"/>
        </w:rPr>
        <w:t>。</w:t>
      </w:r>
    </w:p>
    <w:sectPr w:rsidR="00994320" w:rsidRPr="00056001" w:rsidSect="00FE6DC3">
      <w:headerReference w:type="default" r:id="rId8"/>
      <w:footerReference w:type="default" r:id="rId9"/>
      <w:pgSz w:w="11906" w:h="16838"/>
      <w:pgMar w:top="680" w:right="1701" w:bottom="851" w:left="155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52A07" w14:textId="77777777" w:rsidR="00C705F3" w:rsidRDefault="00C705F3" w:rsidP="00F910F9">
      <w:pPr>
        <w:spacing w:after="0" w:line="240" w:lineRule="auto"/>
      </w:pPr>
      <w:r>
        <w:separator/>
      </w:r>
    </w:p>
  </w:endnote>
  <w:endnote w:type="continuationSeparator" w:id="0">
    <w:p w14:paraId="5C03488D" w14:textId="77777777" w:rsidR="00C705F3" w:rsidRDefault="00C705F3" w:rsidP="00F91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4577766"/>
      <w:docPartObj>
        <w:docPartGallery w:val="Page Numbers (Bottom of Page)"/>
        <w:docPartUnique/>
      </w:docPartObj>
    </w:sdtPr>
    <w:sdtEndPr/>
    <w:sdtContent>
      <w:p w14:paraId="480A6356" w14:textId="4FD1E899" w:rsidR="00F910F9" w:rsidRDefault="00F910F9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7336" w:rsidRPr="00697336">
          <w:rPr>
            <w:noProof/>
            <w:lang w:val="zh-TW"/>
          </w:rPr>
          <w:t>2</w:t>
        </w:r>
        <w:r>
          <w:fldChar w:fldCharType="end"/>
        </w:r>
      </w:p>
    </w:sdtContent>
  </w:sdt>
  <w:p w14:paraId="603FEEDC" w14:textId="77777777" w:rsidR="00F910F9" w:rsidRDefault="00F910F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583AA" w14:textId="77777777" w:rsidR="00C705F3" w:rsidRDefault="00C705F3" w:rsidP="00F910F9">
      <w:pPr>
        <w:spacing w:after="0" w:line="240" w:lineRule="auto"/>
      </w:pPr>
      <w:r>
        <w:separator/>
      </w:r>
    </w:p>
  </w:footnote>
  <w:footnote w:type="continuationSeparator" w:id="0">
    <w:p w14:paraId="5E49AFDF" w14:textId="77777777" w:rsidR="00C705F3" w:rsidRDefault="00C705F3" w:rsidP="00F91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A511B" w14:textId="35871843" w:rsidR="00F910F9" w:rsidRPr="00F910F9" w:rsidRDefault="00F910F9" w:rsidP="00F910F9">
    <w:pPr>
      <w:pStyle w:val="af"/>
      <w:jc w:val="right"/>
      <w:rPr>
        <w:rFonts w:ascii="標楷體" w:eastAsia="標楷體" w:hAnsi="標楷體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3A66"/>
    <w:multiLevelType w:val="hybridMultilevel"/>
    <w:tmpl w:val="FDDC8FFE"/>
    <w:lvl w:ilvl="0" w:tplc="AB3A3CC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004EA6"/>
    <w:multiLevelType w:val="multilevel"/>
    <w:tmpl w:val="F8B4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D670E"/>
    <w:multiLevelType w:val="multilevel"/>
    <w:tmpl w:val="936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58D4"/>
    <w:multiLevelType w:val="hybridMultilevel"/>
    <w:tmpl w:val="44E215A0"/>
    <w:lvl w:ilvl="0" w:tplc="BF2ED13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8C563F"/>
    <w:multiLevelType w:val="hybridMultilevel"/>
    <w:tmpl w:val="AEA0BFD0"/>
    <w:lvl w:ilvl="0" w:tplc="D2BCFFBE">
      <w:start w:val="1"/>
      <w:numFmt w:val="bullet"/>
      <w:suff w:val="nothing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090045C"/>
    <w:multiLevelType w:val="hybridMultilevel"/>
    <w:tmpl w:val="EB4A35F8"/>
    <w:lvl w:ilvl="0" w:tplc="EED4C48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1C8687A"/>
    <w:multiLevelType w:val="hybridMultilevel"/>
    <w:tmpl w:val="BC160F20"/>
    <w:lvl w:ilvl="0" w:tplc="04090001">
      <w:start w:val="1"/>
      <w:numFmt w:val="bullet"/>
      <w:lvlText w:val="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7" w15:restartNumberingAfterBreak="0">
    <w:nsid w:val="49213608"/>
    <w:multiLevelType w:val="hybridMultilevel"/>
    <w:tmpl w:val="2690BAC0"/>
    <w:lvl w:ilvl="0" w:tplc="101090A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B274AFA"/>
    <w:multiLevelType w:val="hybridMultilevel"/>
    <w:tmpl w:val="8D882B02"/>
    <w:lvl w:ilvl="0" w:tplc="4D260DA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4C148F9"/>
    <w:multiLevelType w:val="hybridMultilevel"/>
    <w:tmpl w:val="22B4B28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2F6CDD"/>
    <w:multiLevelType w:val="hybridMultilevel"/>
    <w:tmpl w:val="0D6AE91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B903F47"/>
    <w:multiLevelType w:val="multilevel"/>
    <w:tmpl w:val="A80A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70386"/>
    <w:multiLevelType w:val="multilevel"/>
    <w:tmpl w:val="A5D8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16489">
    <w:abstractNumId w:val="1"/>
  </w:num>
  <w:num w:numId="2" w16cid:durableId="536938840">
    <w:abstractNumId w:val="2"/>
  </w:num>
  <w:num w:numId="3" w16cid:durableId="303972176">
    <w:abstractNumId w:val="10"/>
  </w:num>
  <w:num w:numId="4" w16cid:durableId="1557278031">
    <w:abstractNumId w:val="8"/>
  </w:num>
  <w:num w:numId="5" w16cid:durableId="1432513054">
    <w:abstractNumId w:val="5"/>
  </w:num>
  <w:num w:numId="6" w16cid:durableId="416831656">
    <w:abstractNumId w:val="0"/>
  </w:num>
  <w:num w:numId="7" w16cid:durableId="1354307299">
    <w:abstractNumId w:val="3"/>
  </w:num>
  <w:num w:numId="8" w16cid:durableId="280309995">
    <w:abstractNumId w:val="7"/>
  </w:num>
  <w:num w:numId="9" w16cid:durableId="1938366589">
    <w:abstractNumId w:val="11"/>
  </w:num>
  <w:num w:numId="10" w16cid:durableId="335303703">
    <w:abstractNumId w:val="4"/>
  </w:num>
  <w:num w:numId="11" w16cid:durableId="620384775">
    <w:abstractNumId w:val="12"/>
  </w:num>
  <w:num w:numId="12" w16cid:durableId="1431469776">
    <w:abstractNumId w:val="6"/>
  </w:num>
  <w:num w:numId="13" w16cid:durableId="16176367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FD7"/>
    <w:rsid w:val="00002B02"/>
    <w:rsid w:val="00004887"/>
    <w:rsid w:val="0000720F"/>
    <w:rsid w:val="000209DA"/>
    <w:rsid w:val="000239B0"/>
    <w:rsid w:val="00023B2F"/>
    <w:rsid w:val="00025C12"/>
    <w:rsid w:val="000313BE"/>
    <w:rsid w:val="0003145B"/>
    <w:rsid w:val="00033BFC"/>
    <w:rsid w:val="00036EE0"/>
    <w:rsid w:val="00046459"/>
    <w:rsid w:val="00056001"/>
    <w:rsid w:val="00065A81"/>
    <w:rsid w:val="00080EC9"/>
    <w:rsid w:val="00090A13"/>
    <w:rsid w:val="0009219F"/>
    <w:rsid w:val="00093D50"/>
    <w:rsid w:val="0009484A"/>
    <w:rsid w:val="000A0E33"/>
    <w:rsid w:val="000B7964"/>
    <w:rsid w:val="000C0C90"/>
    <w:rsid w:val="000C31B3"/>
    <w:rsid w:val="000D2BA4"/>
    <w:rsid w:val="000D37F2"/>
    <w:rsid w:val="000E00A0"/>
    <w:rsid w:val="000E079F"/>
    <w:rsid w:val="000E0FB0"/>
    <w:rsid w:val="000E31E5"/>
    <w:rsid w:val="000E66A6"/>
    <w:rsid w:val="000E754E"/>
    <w:rsid w:val="000F71CA"/>
    <w:rsid w:val="001001E1"/>
    <w:rsid w:val="0010024D"/>
    <w:rsid w:val="00103881"/>
    <w:rsid w:val="001063B0"/>
    <w:rsid w:val="001102A7"/>
    <w:rsid w:val="00130AFC"/>
    <w:rsid w:val="00131267"/>
    <w:rsid w:val="0013798C"/>
    <w:rsid w:val="00145B0B"/>
    <w:rsid w:val="00146CF7"/>
    <w:rsid w:val="00152FA2"/>
    <w:rsid w:val="00154831"/>
    <w:rsid w:val="00156737"/>
    <w:rsid w:val="001604D9"/>
    <w:rsid w:val="00167ECE"/>
    <w:rsid w:val="001736C9"/>
    <w:rsid w:val="001742C4"/>
    <w:rsid w:val="00176EF3"/>
    <w:rsid w:val="00181AC9"/>
    <w:rsid w:val="001934EC"/>
    <w:rsid w:val="001A61F8"/>
    <w:rsid w:val="001B1BF1"/>
    <w:rsid w:val="001B5213"/>
    <w:rsid w:val="001C0099"/>
    <w:rsid w:val="001C4BCC"/>
    <w:rsid w:val="001D2AB9"/>
    <w:rsid w:val="001D50F4"/>
    <w:rsid w:val="001D75BF"/>
    <w:rsid w:val="001D7A1C"/>
    <w:rsid w:val="001F0F19"/>
    <w:rsid w:val="001F3CB2"/>
    <w:rsid w:val="001F44D3"/>
    <w:rsid w:val="00213CA9"/>
    <w:rsid w:val="0021429D"/>
    <w:rsid w:val="002214BD"/>
    <w:rsid w:val="00224249"/>
    <w:rsid w:val="0022552A"/>
    <w:rsid w:val="002320F3"/>
    <w:rsid w:val="00236D69"/>
    <w:rsid w:val="002456DB"/>
    <w:rsid w:val="00253DE4"/>
    <w:rsid w:val="002579BE"/>
    <w:rsid w:val="00283146"/>
    <w:rsid w:val="00284476"/>
    <w:rsid w:val="002913E2"/>
    <w:rsid w:val="00293AFF"/>
    <w:rsid w:val="002B1C95"/>
    <w:rsid w:val="002B2863"/>
    <w:rsid w:val="002B443C"/>
    <w:rsid w:val="002B5311"/>
    <w:rsid w:val="002B5C4D"/>
    <w:rsid w:val="002B6824"/>
    <w:rsid w:val="002C085A"/>
    <w:rsid w:val="002C0DA2"/>
    <w:rsid w:val="002C1CB4"/>
    <w:rsid w:val="002C473F"/>
    <w:rsid w:val="002E1FF1"/>
    <w:rsid w:val="002E4505"/>
    <w:rsid w:val="002F039C"/>
    <w:rsid w:val="002F12CC"/>
    <w:rsid w:val="002F606F"/>
    <w:rsid w:val="002F7C9C"/>
    <w:rsid w:val="0030661F"/>
    <w:rsid w:val="00306A92"/>
    <w:rsid w:val="0031242B"/>
    <w:rsid w:val="003225C9"/>
    <w:rsid w:val="0032455F"/>
    <w:rsid w:val="00324DD6"/>
    <w:rsid w:val="00344B2F"/>
    <w:rsid w:val="003466E5"/>
    <w:rsid w:val="00356047"/>
    <w:rsid w:val="00360D84"/>
    <w:rsid w:val="00365A55"/>
    <w:rsid w:val="00365D8A"/>
    <w:rsid w:val="003672FE"/>
    <w:rsid w:val="00373D91"/>
    <w:rsid w:val="003762F4"/>
    <w:rsid w:val="0037637A"/>
    <w:rsid w:val="00376B73"/>
    <w:rsid w:val="0037711C"/>
    <w:rsid w:val="0038551D"/>
    <w:rsid w:val="003855A0"/>
    <w:rsid w:val="00385BE7"/>
    <w:rsid w:val="00386B2B"/>
    <w:rsid w:val="00386BB1"/>
    <w:rsid w:val="00386CA3"/>
    <w:rsid w:val="0039266C"/>
    <w:rsid w:val="003932ED"/>
    <w:rsid w:val="00393EC8"/>
    <w:rsid w:val="003A2025"/>
    <w:rsid w:val="003A3315"/>
    <w:rsid w:val="003A5A27"/>
    <w:rsid w:val="003C2412"/>
    <w:rsid w:val="003D03E8"/>
    <w:rsid w:val="003E3793"/>
    <w:rsid w:val="003E3C15"/>
    <w:rsid w:val="003E4310"/>
    <w:rsid w:val="003E6EC8"/>
    <w:rsid w:val="003F0FCB"/>
    <w:rsid w:val="003F3A95"/>
    <w:rsid w:val="003F553D"/>
    <w:rsid w:val="003F63D5"/>
    <w:rsid w:val="003F66BD"/>
    <w:rsid w:val="003F67E8"/>
    <w:rsid w:val="0040213A"/>
    <w:rsid w:val="00403363"/>
    <w:rsid w:val="00404338"/>
    <w:rsid w:val="00407664"/>
    <w:rsid w:val="00407951"/>
    <w:rsid w:val="00407998"/>
    <w:rsid w:val="00412431"/>
    <w:rsid w:val="0041280B"/>
    <w:rsid w:val="00420586"/>
    <w:rsid w:val="004224E1"/>
    <w:rsid w:val="00424A02"/>
    <w:rsid w:val="004340FE"/>
    <w:rsid w:val="004378DC"/>
    <w:rsid w:val="0044017A"/>
    <w:rsid w:val="0044580C"/>
    <w:rsid w:val="004458A2"/>
    <w:rsid w:val="004528F8"/>
    <w:rsid w:val="004639F9"/>
    <w:rsid w:val="00474041"/>
    <w:rsid w:val="00475FF5"/>
    <w:rsid w:val="00482E30"/>
    <w:rsid w:val="004838D3"/>
    <w:rsid w:val="00487631"/>
    <w:rsid w:val="00487673"/>
    <w:rsid w:val="00487EFD"/>
    <w:rsid w:val="00487FAC"/>
    <w:rsid w:val="00490D99"/>
    <w:rsid w:val="004910A4"/>
    <w:rsid w:val="004929AA"/>
    <w:rsid w:val="00495A0D"/>
    <w:rsid w:val="00496E4A"/>
    <w:rsid w:val="0049783C"/>
    <w:rsid w:val="004A0558"/>
    <w:rsid w:val="004A0F97"/>
    <w:rsid w:val="004A0FED"/>
    <w:rsid w:val="004A2397"/>
    <w:rsid w:val="004A68DB"/>
    <w:rsid w:val="004B6C6E"/>
    <w:rsid w:val="004B7CAE"/>
    <w:rsid w:val="004D259C"/>
    <w:rsid w:val="004D26EC"/>
    <w:rsid w:val="004D3D7C"/>
    <w:rsid w:val="004D4615"/>
    <w:rsid w:val="004D784C"/>
    <w:rsid w:val="004F7823"/>
    <w:rsid w:val="005117EF"/>
    <w:rsid w:val="00514270"/>
    <w:rsid w:val="00515DC6"/>
    <w:rsid w:val="00523C21"/>
    <w:rsid w:val="00526912"/>
    <w:rsid w:val="00534980"/>
    <w:rsid w:val="005378A1"/>
    <w:rsid w:val="00541434"/>
    <w:rsid w:val="005415B2"/>
    <w:rsid w:val="0054245C"/>
    <w:rsid w:val="00544693"/>
    <w:rsid w:val="00544EFB"/>
    <w:rsid w:val="00565F1F"/>
    <w:rsid w:val="00574F23"/>
    <w:rsid w:val="0057587B"/>
    <w:rsid w:val="00591C9B"/>
    <w:rsid w:val="005A3F3D"/>
    <w:rsid w:val="005A5151"/>
    <w:rsid w:val="005B0DB3"/>
    <w:rsid w:val="005B382B"/>
    <w:rsid w:val="005B764F"/>
    <w:rsid w:val="005B7ECE"/>
    <w:rsid w:val="005C1FD0"/>
    <w:rsid w:val="005C34AE"/>
    <w:rsid w:val="005C5941"/>
    <w:rsid w:val="005D0B16"/>
    <w:rsid w:val="005D28EC"/>
    <w:rsid w:val="005D2968"/>
    <w:rsid w:val="005D65D0"/>
    <w:rsid w:val="005E18F5"/>
    <w:rsid w:val="005E1FBF"/>
    <w:rsid w:val="005E3768"/>
    <w:rsid w:val="005E4DF0"/>
    <w:rsid w:val="005E5106"/>
    <w:rsid w:val="0060550A"/>
    <w:rsid w:val="006104D3"/>
    <w:rsid w:val="0061272B"/>
    <w:rsid w:val="006142B3"/>
    <w:rsid w:val="006215B3"/>
    <w:rsid w:val="00623AA3"/>
    <w:rsid w:val="006411AF"/>
    <w:rsid w:val="006444AE"/>
    <w:rsid w:val="00646DC0"/>
    <w:rsid w:val="00647EB7"/>
    <w:rsid w:val="0065472B"/>
    <w:rsid w:val="00656268"/>
    <w:rsid w:val="00664CE7"/>
    <w:rsid w:val="006663F6"/>
    <w:rsid w:val="006721A3"/>
    <w:rsid w:val="0067321A"/>
    <w:rsid w:val="006738FC"/>
    <w:rsid w:val="00673B97"/>
    <w:rsid w:val="00673F54"/>
    <w:rsid w:val="00676754"/>
    <w:rsid w:val="00681E78"/>
    <w:rsid w:val="0068261A"/>
    <w:rsid w:val="0068782E"/>
    <w:rsid w:val="0069220D"/>
    <w:rsid w:val="00693301"/>
    <w:rsid w:val="006933A3"/>
    <w:rsid w:val="00693D1E"/>
    <w:rsid w:val="00694421"/>
    <w:rsid w:val="00694449"/>
    <w:rsid w:val="00697336"/>
    <w:rsid w:val="006A1A27"/>
    <w:rsid w:val="006A2CA0"/>
    <w:rsid w:val="006A6DDE"/>
    <w:rsid w:val="006C0C64"/>
    <w:rsid w:val="006C4743"/>
    <w:rsid w:val="006D0212"/>
    <w:rsid w:val="006D0FFE"/>
    <w:rsid w:val="006D31E1"/>
    <w:rsid w:val="006E7A11"/>
    <w:rsid w:val="006E7A81"/>
    <w:rsid w:val="006F07FD"/>
    <w:rsid w:val="00702919"/>
    <w:rsid w:val="00706913"/>
    <w:rsid w:val="0070698D"/>
    <w:rsid w:val="0070770E"/>
    <w:rsid w:val="007105C3"/>
    <w:rsid w:val="007144C4"/>
    <w:rsid w:val="00716B04"/>
    <w:rsid w:val="00716BDF"/>
    <w:rsid w:val="007229ED"/>
    <w:rsid w:val="00731310"/>
    <w:rsid w:val="00740F10"/>
    <w:rsid w:val="007571F7"/>
    <w:rsid w:val="00757C55"/>
    <w:rsid w:val="00764C8B"/>
    <w:rsid w:val="00765C31"/>
    <w:rsid w:val="00770B15"/>
    <w:rsid w:val="007769A4"/>
    <w:rsid w:val="0077764F"/>
    <w:rsid w:val="00790145"/>
    <w:rsid w:val="0079351D"/>
    <w:rsid w:val="007A19C9"/>
    <w:rsid w:val="007A2E4E"/>
    <w:rsid w:val="007A5114"/>
    <w:rsid w:val="007A5D5B"/>
    <w:rsid w:val="007A5D9B"/>
    <w:rsid w:val="007A7E29"/>
    <w:rsid w:val="007B7A06"/>
    <w:rsid w:val="007B7E24"/>
    <w:rsid w:val="007B7E3F"/>
    <w:rsid w:val="007C448D"/>
    <w:rsid w:val="007C6A67"/>
    <w:rsid w:val="007C6DDB"/>
    <w:rsid w:val="007D2699"/>
    <w:rsid w:val="007D588A"/>
    <w:rsid w:val="007D7A3F"/>
    <w:rsid w:val="007E1F52"/>
    <w:rsid w:val="007E2528"/>
    <w:rsid w:val="007E3068"/>
    <w:rsid w:val="007E4AAF"/>
    <w:rsid w:val="00815450"/>
    <w:rsid w:val="0082172D"/>
    <w:rsid w:val="00822158"/>
    <w:rsid w:val="0083006B"/>
    <w:rsid w:val="00830EB1"/>
    <w:rsid w:val="008518D8"/>
    <w:rsid w:val="00853CBD"/>
    <w:rsid w:val="008549E8"/>
    <w:rsid w:val="00856303"/>
    <w:rsid w:val="008574F4"/>
    <w:rsid w:val="00862B63"/>
    <w:rsid w:val="008658BB"/>
    <w:rsid w:val="00880921"/>
    <w:rsid w:val="008811EF"/>
    <w:rsid w:val="00882816"/>
    <w:rsid w:val="00885CE0"/>
    <w:rsid w:val="00887FAA"/>
    <w:rsid w:val="00894FFA"/>
    <w:rsid w:val="008A20C2"/>
    <w:rsid w:val="008A4025"/>
    <w:rsid w:val="008A7151"/>
    <w:rsid w:val="008B0D23"/>
    <w:rsid w:val="008B0E20"/>
    <w:rsid w:val="008B61E2"/>
    <w:rsid w:val="008C4256"/>
    <w:rsid w:val="008E7ECB"/>
    <w:rsid w:val="00905CB3"/>
    <w:rsid w:val="0092032F"/>
    <w:rsid w:val="00921C5D"/>
    <w:rsid w:val="00922740"/>
    <w:rsid w:val="00935335"/>
    <w:rsid w:val="00941ED7"/>
    <w:rsid w:val="00945E37"/>
    <w:rsid w:val="00951129"/>
    <w:rsid w:val="009726E8"/>
    <w:rsid w:val="00976F8C"/>
    <w:rsid w:val="009778AA"/>
    <w:rsid w:val="0098022E"/>
    <w:rsid w:val="00994320"/>
    <w:rsid w:val="009A51E3"/>
    <w:rsid w:val="009A6FED"/>
    <w:rsid w:val="009A79A9"/>
    <w:rsid w:val="009B0340"/>
    <w:rsid w:val="009B2E61"/>
    <w:rsid w:val="009B4377"/>
    <w:rsid w:val="009B5E2A"/>
    <w:rsid w:val="009B6976"/>
    <w:rsid w:val="009C14A9"/>
    <w:rsid w:val="009C78B3"/>
    <w:rsid w:val="009D432D"/>
    <w:rsid w:val="009E13A8"/>
    <w:rsid w:val="009E2493"/>
    <w:rsid w:val="009E719E"/>
    <w:rsid w:val="009F7C92"/>
    <w:rsid w:val="009F7C94"/>
    <w:rsid w:val="009F7F29"/>
    <w:rsid w:val="00A077C9"/>
    <w:rsid w:val="00A168B8"/>
    <w:rsid w:val="00A2145C"/>
    <w:rsid w:val="00A218AF"/>
    <w:rsid w:val="00A22971"/>
    <w:rsid w:val="00A2342A"/>
    <w:rsid w:val="00A31C2A"/>
    <w:rsid w:val="00A50033"/>
    <w:rsid w:val="00A504DC"/>
    <w:rsid w:val="00A5226D"/>
    <w:rsid w:val="00A64164"/>
    <w:rsid w:val="00A654EC"/>
    <w:rsid w:val="00A70BAA"/>
    <w:rsid w:val="00A7454D"/>
    <w:rsid w:val="00A74919"/>
    <w:rsid w:val="00A761DE"/>
    <w:rsid w:val="00A824F6"/>
    <w:rsid w:val="00A83C4E"/>
    <w:rsid w:val="00A8422F"/>
    <w:rsid w:val="00A91A22"/>
    <w:rsid w:val="00A92DA5"/>
    <w:rsid w:val="00AA0205"/>
    <w:rsid w:val="00AA6D23"/>
    <w:rsid w:val="00AA7377"/>
    <w:rsid w:val="00AB0E8F"/>
    <w:rsid w:val="00AB3667"/>
    <w:rsid w:val="00AB5FED"/>
    <w:rsid w:val="00AC3CD7"/>
    <w:rsid w:val="00AC4DA8"/>
    <w:rsid w:val="00AD23D0"/>
    <w:rsid w:val="00AD3888"/>
    <w:rsid w:val="00AD4B6A"/>
    <w:rsid w:val="00AD755B"/>
    <w:rsid w:val="00AE3200"/>
    <w:rsid w:val="00AF3A58"/>
    <w:rsid w:val="00AF730F"/>
    <w:rsid w:val="00B00662"/>
    <w:rsid w:val="00B06596"/>
    <w:rsid w:val="00B06C51"/>
    <w:rsid w:val="00B10FF0"/>
    <w:rsid w:val="00B1263D"/>
    <w:rsid w:val="00B17E7A"/>
    <w:rsid w:val="00B31684"/>
    <w:rsid w:val="00B32A35"/>
    <w:rsid w:val="00B449AF"/>
    <w:rsid w:val="00B538C3"/>
    <w:rsid w:val="00B56763"/>
    <w:rsid w:val="00B5735F"/>
    <w:rsid w:val="00B578EC"/>
    <w:rsid w:val="00B60B77"/>
    <w:rsid w:val="00B76C53"/>
    <w:rsid w:val="00B77129"/>
    <w:rsid w:val="00B80BCC"/>
    <w:rsid w:val="00B825FD"/>
    <w:rsid w:val="00B92FCC"/>
    <w:rsid w:val="00B94CC4"/>
    <w:rsid w:val="00BA1875"/>
    <w:rsid w:val="00BA587C"/>
    <w:rsid w:val="00BA5ADE"/>
    <w:rsid w:val="00BB1B38"/>
    <w:rsid w:val="00BB384E"/>
    <w:rsid w:val="00BB6391"/>
    <w:rsid w:val="00BC1B51"/>
    <w:rsid w:val="00BC5A69"/>
    <w:rsid w:val="00BC65CE"/>
    <w:rsid w:val="00BD0D16"/>
    <w:rsid w:val="00BE1BE4"/>
    <w:rsid w:val="00BE32CC"/>
    <w:rsid w:val="00BE34D4"/>
    <w:rsid w:val="00BE68A4"/>
    <w:rsid w:val="00BF0B8A"/>
    <w:rsid w:val="00BF247E"/>
    <w:rsid w:val="00BF6777"/>
    <w:rsid w:val="00BF7495"/>
    <w:rsid w:val="00C0352E"/>
    <w:rsid w:val="00C11CA3"/>
    <w:rsid w:val="00C12710"/>
    <w:rsid w:val="00C157C0"/>
    <w:rsid w:val="00C2228A"/>
    <w:rsid w:val="00C239F8"/>
    <w:rsid w:val="00C259B5"/>
    <w:rsid w:val="00C33028"/>
    <w:rsid w:val="00C339F0"/>
    <w:rsid w:val="00C35547"/>
    <w:rsid w:val="00C40847"/>
    <w:rsid w:val="00C47F5D"/>
    <w:rsid w:val="00C53156"/>
    <w:rsid w:val="00C54C13"/>
    <w:rsid w:val="00C5743B"/>
    <w:rsid w:val="00C64C01"/>
    <w:rsid w:val="00C67C02"/>
    <w:rsid w:val="00C705F3"/>
    <w:rsid w:val="00C70ADB"/>
    <w:rsid w:val="00C73DDA"/>
    <w:rsid w:val="00C754CD"/>
    <w:rsid w:val="00C82DCD"/>
    <w:rsid w:val="00C841D4"/>
    <w:rsid w:val="00C9316B"/>
    <w:rsid w:val="00C93822"/>
    <w:rsid w:val="00C960D2"/>
    <w:rsid w:val="00CA0E35"/>
    <w:rsid w:val="00CB05A1"/>
    <w:rsid w:val="00CB1ED5"/>
    <w:rsid w:val="00CB41FE"/>
    <w:rsid w:val="00CB6ED2"/>
    <w:rsid w:val="00CC1104"/>
    <w:rsid w:val="00CD0906"/>
    <w:rsid w:val="00CD4351"/>
    <w:rsid w:val="00CD61F2"/>
    <w:rsid w:val="00CD7BF6"/>
    <w:rsid w:val="00CF1614"/>
    <w:rsid w:val="00CF2C90"/>
    <w:rsid w:val="00CF5715"/>
    <w:rsid w:val="00CF700A"/>
    <w:rsid w:val="00D00668"/>
    <w:rsid w:val="00D07EDA"/>
    <w:rsid w:val="00D1727E"/>
    <w:rsid w:val="00D20F99"/>
    <w:rsid w:val="00D22CEC"/>
    <w:rsid w:val="00D23BBA"/>
    <w:rsid w:val="00D27F8A"/>
    <w:rsid w:val="00D3203F"/>
    <w:rsid w:val="00D32181"/>
    <w:rsid w:val="00D36B5D"/>
    <w:rsid w:val="00D458AF"/>
    <w:rsid w:val="00D51C88"/>
    <w:rsid w:val="00D52B21"/>
    <w:rsid w:val="00D53439"/>
    <w:rsid w:val="00D549BD"/>
    <w:rsid w:val="00D61DD6"/>
    <w:rsid w:val="00D73734"/>
    <w:rsid w:val="00D80F4F"/>
    <w:rsid w:val="00D84F14"/>
    <w:rsid w:val="00D85B1E"/>
    <w:rsid w:val="00D87134"/>
    <w:rsid w:val="00D90BE9"/>
    <w:rsid w:val="00D90CA3"/>
    <w:rsid w:val="00D924CB"/>
    <w:rsid w:val="00D93AEA"/>
    <w:rsid w:val="00D94946"/>
    <w:rsid w:val="00D977D7"/>
    <w:rsid w:val="00DA07B0"/>
    <w:rsid w:val="00DA27F4"/>
    <w:rsid w:val="00DA3374"/>
    <w:rsid w:val="00DB069F"/>
    <w:rsid w:val="00DB50A1"/>
    <w:rsid w:val="00DC0391"/>
    <w:rsid w:val="00DC2042"/>
    <w:rsid w:val="00DC2A99"/>
    <w:rsid w:val="00DC533F"/>
    <w:rsid w:val="00DD18E9"/>
    <w:rsid w:val="00DE3707"/>
    <w:rsid w:val="00DE3D2B"/>
    <w:rsid w:val="00DF0F6C"/>
    <w:rsid w:val="00DF459E"/>
    <w:rsid w:val="00E0087B"/>
    <w:rsid w:val="00E02097"/>
    <w:rsid w:val="00E06E3C"/>
    <w:rsid w:val="00E33248"/>
    <w:rsid w:val="00E37C93"/>
    <w:rsid w:val="00E528FB"/>
    <w:rsid w:val="00E5609D"/>
    <w:rsid w:val="00E56F93"/>
    <w:rsid w:val="00E648E7"/>
    <w:rsid w:val="00E64B06"/>
    <w:rsid w:val="00E652CC"/>
    <w:rsid w:val="00E718F3"/>
    <w:rsid w:val="00E76031"/>
    <w:rsid w:val="00E949C3"/>
    <w:rsid w:val="00E95801"/>
    <w:rsid w:val="00EA54DA"/>
    <w:rsid w:val="00EB2F7F"/>
    <w:rsid w:val="00EB6F75"/>
    <w:rsid w:val="00EC19E4"/>
    <w:rsid w:val="00EC3477"/>
    <w:rsid w:val="00ED54A1"/>
    <w:rsid w:val="00EE0A42"/>
    <w:rsid w:val="00EE2084"/>
    <w:rsid w:val="00EE30A9"/>
    <w:rsid w:val="00F00B27"/>
    <w:rsid w:val="00F020D2"/>
    <w:rsid w:val="00F030EF"/>
    <w:rsid w:val="00F1681F"/>
    <w:rsid w:val="00F21861"/>
    <w:rsid w:val="00F22FD7"/>
    <w:rsid w:val="00F23144"/>
    <w:rsid w:val="00F24FDD"/>
    <w:rsid w:val="00F252ED"/>
    <w:rsid w:val="00F260B6"/>
    <w:rsid w:val="00F308B9"/>
    <w:rsid w:val="00F4107D"/>
    <w:rsid w:val="00F43D32"/>
    <w:rsid w:val="00F445CD"/>
    <w:rsid w:val="00F51949"/>
    <w:rsid w:val="00F70B4A"/>
    <w:rsid w:val="00F771D5"/>
    <w:rsid w:val="00F80231"/>
    <w:rsid w:val="00F859BA"/>
    <w:rsid w:val="00F86B36"/>
    <w:rsid w:val="00F910F9"/>
    <w:rsid w:val="00F96A42"/>
    <w:rsid w:val="00F96F31"/>
    <w:rsid w:val="00FA1006"/>
    <w:rsid w:val="00FB69A6"/>
    <w:rsid w:val="00FC2117"/>
    <w:rsid w:val="00FC2930"/>
    <w:rsid w:val="00FC7B85"/>
    <w:rsid w:val="00FE6DC3"/>
    <w:rsid w:val="00FF2190"/>
    <w:rsid w:val="00F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01218"/>
  <w15:chartTrackingRefBased/>
  <w15:docId w15:val="{FE1EA476-C599-4196-B46C-DB4A68FD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2F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FD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FD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FD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FD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FD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FD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2F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22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22FD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22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22FD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22F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22F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22F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22F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F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2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F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22F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22F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2F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2F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2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22F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2FD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22FD7"/>
    <w:rPr>
      <w:color w:val="0563C1" w:themeColor="hyperlink"/>
      <w:u w:val="single"/>
    </w:rPr>
  </w:style>
  <w:style w:type="character" w:customStyle="1" w:styleId="11">
    <w:name w:val="未解析的提及1"/>
    <w:basedOn w:val="a0"/>
    <w:uiPriority w:val="99"/>
    <w:semiHidden/>
    <w:unhideWhenUsed/>
    <w:rsid w:val="00F22FD7"/>
    <w:rPr>
      <w:color w:val="605E5C"/>
      <w:shd w:val="clear" w:color="auto" w:fill="E1DFDD"/>
    </w:rPr>
  </w:style>
  <w:style w:type="table" w:customStyle="1" w:styleId="41">
    <w:name w:val="純表格 41"/>
    <w:basedOn w:val="a1"/>
    <w:uiPriority w:val="44"/>
    <w:rsid w:val="000D37F2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純表格 21"/>
    <w:basedOn w:val="a1"/>
    <w:uiPriority w:val="42"/>
    <w:rsid w:val="000D37F2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">
    <w:name w:val="header"/>
    <w:basedOn w:val="a"/>
    <w:link w:val="af0"/>
    <w:uiPriority w:val="99"/>
    <w:unhideWhenUsed/>
    <w:rsid w:val="00F910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910F9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910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910F9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64C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22">
    <w:name w:val="未解析的提及2"/>
    <w:basedOn w:val="a0"/>
    <w:uiPriority w:val="99"/>
    <w:semiHidden/>
    <w:unhideWhenUsed/>
    <w:rsid w:val="00EB6F75"/>
    <w:rPr>
      <w:color w:val="605E5C"/>
      <w:shd w:val="clear" w:color="auto" w:fill="E1DFDD"/>
    </w:rPr>
  </w:style>
  <w:style w:type="paragraph" w:customStyle="1" w:styleId="listitem-bmn0shh">
    <w:name w:val="listitem-bmn0_shh"/>
    <w:basedOn w:val="a"/>
    <w:rsid w:val="008C425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f3">
    <w:name w:val="Balloon Text"/>
    <w:basedOn w:val="a"/>
    <w:link w:val="af4"/>
    <w:uiPriority w:val="99"/>
    <w:semiHidden/>
    <w:unhideWhenUsed/>
    <w:rsid w:val="00DC204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4">
    <w:name w:val="註解方塊文字 字元"/>
    <w:basedOn w:val="a0"/>
    <w:link w:val="af3"/>
    <w:uiPriority w:val="99"/>
    <w:semiHidden/>
    <w:rsid w:val="00DC2042"/>
    <w:rPr>
      <w:rFonts w:asciiTheme="majorHAnsi" w:eastAsiaTheme="majorEastAsia" w:hAnsiTheme="majorHAnsi" w:cstheme="majorBid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A70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0739">
          <w:marLeft w:val="0"/>
          <w:marRight w:val="0"/>
          <w:marTop w:val="0"/>
          <w:marBottom w:val="17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4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5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1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6222">
          <w:marLeft w:val="0"/>
          <w:marRight w:val="0"/>
          <w:marTop w:val="0"/>
          <w:marBottom w:val="17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4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D084E-A7C0-433B-991B-345FB1C10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婉琪 洪</dc:creator>
  <cp:keywords/>
  <dc:description/>
  <cp:lastModifiedBy>洪婉琪</cp:lastModifiedBy>
  <cp:revision>36</cp:revision>
  <cp:lastPrinted>2026-03-04T00:21:00Z</cp:lastPrinted>
  <dcterms:created xsi:type="dcterms:W3CDTF">2026-03-03T23:52:00Z</dcterms:created>
  <dcterms:modified xsi:type="dcterms:W3CDTF">2026-07-01T03:56:00Z</dcterms:modified>
</cp:coreProperties>
</file>