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E7" w:rsidRDefault="006F06E7" w:rsidP="006F06E7">
      <w:pPr>
        <w:pStyle w:val="Subtitle"/>
      </w:pPr>
      <w:r>
        <w:t>Summary</w:t>
      </w:r>
    </w:p>
    <w:p w:rsidR="006F06E7" w:rsidRDefault="006F06E7" w:rsidP="006F06E7">
      <w:r>
        <w:t>Montana’s Big Mountain Resort has engaged us to review and propose a pricing strategy, and to assess the value impact of operational cost cutting measures being considered. Our first task was to obtain, review, and prepare the provided data for an exploratory data analysis. This summarizes our data preparation exercise.</w:t>
      </w:r>
    </w:p>
    <w:p w:rsidR="006F06E7" w:rsidRDefault="006F06E7" w:rsidP="006F06E7">
      <w:r>
        <w:t xml:space="preserve">The raw data was loaded and </w:t>
      </w:r>
      <w:r w:rsidR="0008168C">
        <w:t>found to have 330 observations and 27 columns.  The distribution of data types among the features was:</w:t>
      </w:r>
    </w:p>
    <w:tbl>
      <w:tblPr>
        <w:tblStyle w:val="ProjectScopeTable"/>
        <w:tblW w:w="2785" w:type="dxa"/>
        <w:jc w:val="center"/>
        <w:tblLook w:val="04A0" w:firstRow="1" w:lastRow="0" w:firstColumn="1" w:lastColumn="0" w:noHBand="0" w:noVBand="1"/>
      </w:tblPr>
      <w:tblGrid>
        <w:gridCol w:w="1321"/>
        <w:gridCol w:w="1464"/>
      </w:tblGrid>
      <w:tr w:rsidR="0008168C" w:rsidRPr="0008168C" w:rsidTr="0008168C">
        <w:trPr>
          <w:cnfStyle w:val="100000000000" w:firstRow="1" w:lastRow="0" w:firstColumn="0" w:lastColumn="0" w:oddVBand="0" w:evenVBand="0" w:oddHBand="0" w:evenHBand="0" w:firstRowFirstColumn="0" w:firstRowLastColumn="0" w:lastRowFirstColumn="0" w:lastRowLastColumn="0"/>
          <w:trHeight w:val="285"/>
          <w:jc w:val="center"/>
        </w:trPr>
        <w:tc>
          <w:tcPr>
            <w:tcW w:w="1321" w:type="dxa"/>
            <w:noWrap/>
            <w:hideMark/>
          </w:tcPr>
          <w:p w:rsidR="0008168C" w:rsidRPr="0008168C" w:rsidRDefault="0008168C" w:rsidP="0008168C">
            <w:pPr>
              <w:spacing w:before="0" w:after="0"/>
              <w:rPr>
                <w:rFonts w:eastAsia="Times New Roman" w:cs="Calibri"/>
                <w:color w:val="000000"/>
                <w:sz w:val="20"/>
                <w:szCs w:val="20"/>
                <w:lang w:eastAsia="en-US"/>
              </w:rPr>
            </w:pPr>
            <w:r w:rsidRPr="0008168C">
              <w:rPr>
                <w:rFonts w:eastAsia="Times New Roman" w:cs="Calibri"/>
                <w:color w:val="000000"/>
                <w:sz w:val="20"/>
                <w:szCs w:val="20"/>
                <w:lang w:eastAsia="en-US"/>
              </w:rPr>
              <w:t>Data Type</w:t>
            </w:r>
          </w:p>
        </w:tc>
        <w:tc>
          <w:tcPr>
            <w:tcW w:w="1464" w:type="dxa"/>
            <w:noWrap/>
            <w:hideMark/>
          </w:tcPr>
          <w:p w:rsidR="0008168C" w:rsidRPr="0008168C" w:rsidRDefault="0008168C" w:rsidP="0008168C">
            <w:pPr>
              <w:spacing w:before="0" w:after="0"/>
              <w:rPr>
                <w:rFonts w:eastAsia="Times New Roman" w:cs="Calibri"/>
                <w:color w:val="000000"/>
                <w:sz w:val="20"/>
                <w:szCs w:val="20"/>
                <w:lang w:eastAsia="en-US"/>
              </w:rPr>
            </w:pPr>
            <w:r w:rsidRPr="0008168C">
              <w:rPr>
                <w:rFonts w:eastAsia="Times New Roman" w:cs="Calibri"/>
                <w:color w:val="000000"/>
                <w:sz w:val="20"/>
                <w:szCs w:val="20"/>
                <w:lang w:eastAsia="en-US"/>
              </w:rPr>
              <w:t># Features</w:t>
            </w:r>
          </w:p>
        </w:tc>
      </w:tr>
      <w:tr w:rsidR="0008168C" w:rsidRPr="0008168C" w:rsidTr="0008168C">
        <w:trPr>
          <w:trHeight w:val="285"/>
          <w:jc w:val="center"/>
        </w:trPr>
        <w:tc>
          <w:tcPr>
            <w:tcW w:w="1321" w:type="dxa"/>
            <w:noWrap/>
            <w:hideMark/>
          </w:tcPr>
          <w:p w:rsidR="0008168C" w:rsidRPr="0008168C" w:rsidRDefault="0008168C" w:rsidP="0008168C">
            <w:pPr>
              <w:spacing w:before="0" w:after="0"/>
              <w:rPr>
                <w:rFonts w:eastAsia="Times New Roman" w:cs="Calibri"/>
                <w:color w:val="000000"/>
                <w:sz w:val="20"/>
                <w:szCs w:val="20"/>
                <w:lang w:eastAsia="en-US"/>
              </w:rPr>
            </w:pPr>
            <w:r w:rsidRPr="0008168C">
              <w:rPr>
                <w:rFonts w:eastAsia="Times New Roman" w:cs="Calibri"/>
                <w:color w:val="000000"/>
                <w:sz w:val="20"/>
                <w:szCs w:val="20"/>
                <w:lang w:eastAsia="en-US"/>
              </w:rPr>
              <w:t>Categorical</w:t>
            </w:r>
          </w:p>
        </w:tc>
        <w:tc>
          <w:tcPr>
            <w:tcW w:w="1464" w:type="dxa"/>
            <w:noWrap/>
            <w:hideMark/>
          </w:tcPr>
          <w:p w:rsidR="0008168C" w:rsidRPr="0008168C" w:rsidRDefault="0008168C" w:rsidP="0008168C">
            <w:pPr>
              <w:spacing w:before="0" w:after="0"/>
              <w:jc w:val="right"/>
              <w:rPr>
                <w:rFonts w:eastAsia="Times New Roman" w:cs="Calibri"/>
                <w:color w:val="000000"/>
                <w:sz w:val="20"/>
                <w:szCs w:val="20"/>
                <w:lang w:eastAsia="en-US"/>
              </w:rPr>
            </w:pPr>
            <w:r w:rsidRPr="0008168C">
              <w:rPr>
                <w:rFonts w:eastAsia="Times New Roman" w:cs="Calibri"/>
                <w:color w:val="000000"/>
                <w:sz w:val="20"/>
                <w:szCs w:val="20"/>
                <w:lang w:eastAsia="en-US"/>
              </w:rPr>
              <w:t>3</w:t>
            </w:r>
          </w:p>
        </w:tc>
      </w:tr>
      <w:tr w:rsidR="0008168C" w:rsidRPr="0008168C" w:rsidTr="0008168C">
        <w:trPr>
          <w:trHeight w:val="285"/>
          <w:jc w:val="center"/>
        </w:trPr>
        <w:tc>
          <w:tcPr>
            <w:tcW w:w="1321" w:type="dxa"/>
            <w:noWrap/>
            <w:hideMark/>
          </w:tcPr>
          <w:p w:rsidR="0008168C" w:rsidRPr="0008168C" w:rsidRDefault="0008168C" w:rsidP="0008168C">
            <w:pPr>
              <w:spacing w:before="0" w:after="0"/>
              <w:rPr>
                <w:rFonts w:eastAsia="Times New Roman" w:cs="Calibri"/>
                <w:color w:val="000000"/>
                <w:sz w:val="20"/>
                <w:szCs w:val="20"/>
                <w:lang w:eastAsia="en-US"/>
              </w:rPr>
            </w:pPr>
            <w:r w:rsidRPr="0008168C">
              <w:rPr>
                <w:rFonts w:eastAsia="Times New Roman" w:cs="Calibri"/>
                <w:color w:val="000000"/>
                <w:sz w:val="20"/>
                <w:szCs w:val="20"/>
                <w:lang w:eastAsia="en-US"/>
              </w:rPr>
              <w:t>Integer</w:t>
            </w:r>
          </w:p>
        </w:tc>
        <w:tc>
          <w:tcPr>
            <w:tcW w:w="1464" w:type="dxa"/>
            <w:noWrap/>
            <w:hideMark/>
          </w:tcPr>
          <w:p w:rsidR="0008168C" w:rsidRPr="0008168C" w:rsidRDefault="0008168C" w:rsidP="0008168C">
            <w:pPr>
              <w:spacing w:before="0" w:after="0"/>
              <w:jc w:val="right"/>
              <w:rPr>
                <w:rFonts w:eastAsia="Times New Roman" w:cs="Calibri"/>
                <w:color w:val="000000"/>
                <w:sz w:val="20"/>
                <w:szCs w:val="20"/>
                <w:lang w:eastAsia="en-US"/>
              </w:rPr>
            </w:pPr>
            <w:r w:rsidRPr="0008168C">
              <w:rPr>
                <w:rFonts w:eastAsia="Times New Roman" w:cs="Calibri"/>
                <w:color w:val="000000"/>
                <w:sz w:val="20"/>
                <w:szCs w:val="20"/>
                <w:lang w:eastAsia="en-US"/>
              </w:rPr>
              <w:t>11</w:t>
            </w:r>
          </w:p>
        </w:tc>
      </w:tr>
      <w:tr w:rsidR="0008168C" w:rsidRPr="0008168C" w:rsidTr="0008168C">
        <w:trPr>
          <w:trHeight w:val="285"/>
          <w:jc w:val="center"/>
        </w:trPr>
        <w:tc>
          <w:tcPr>
            <w:tcW w:w="1321" w:type="dxa"/>
            <w:noWrap/>
            <w:hideMark/>
          </w:tcPr>
          <w:p w:rsidR="0008168C" w:rsidRPr="0008168C" w:rsidRDefault="0008168C" w:rsidP="0008168C">
            <w:pPr>
              <w:spacing w:before="0" w:after="0"/>
              <w:rPr>
                <w:rFonts w:eastAsia="Times New Roman" w:cs="Calibri"/>
                <w:color w:val="000000"/>
                <w:sz w:val="20"/>
                <w:szCs w:val="20"/>
                <w:lang w:eastAsia="en-US"/>
              </w:rPr>
            </w:pPr>
            <w:r w:rsidRPr="0008168C">
              <w:rPr>
                <w:rFonts w:eastAsia="Times New Roman" w:cs="Calibri"/>
                <w:color w:val="000000"/>
                <w:sz w:val="20"/>
                <w:szCs w:val="20"/>
                <w:lang w:eastAsia="en-US"/>
              </w:rPr>
              <w:t>Float</w:t>
            </w:r>
          </w:p>
        </w:tc>
        <w:tc>
          <w:tcPr>
            <w:tcW w:w="1464" w:type="dxa"/>
            <w:noWrap/>
            <w:hideMark/>
          </w:tcPr>
          <w:p w:rsidR="0008168C" w:rsidRPr="0008168C" w:rsidRDefault="0008168C" w:rsidP="0008168C">
            <w:pPr>
              <w:spacing w:before="0" w:after="0"/>
              <w:jc w:val="right"/>
              <w:rPr>
                <w:rFonts w:eastAsia="Times New Roman" w:cs="Calibri"/>
                <w:color w:val="000000"/>
                <w:sz w:val="20"/>
                <w:szCs w:val="20"/>
                <w:lang w:eastAsia="en-US"/>
              </w:rPr>
            </w:pPr>
            <w:r w:rsidRPr="0008168C">
              <w:rPr>
                <w:rFonts w:eastAsia="Times New Roman" w:cs="Calibri"/>
                <w:color w:val="000000"/>
                <w:sz w:val="20"/>
                <w:szCs w:val="20"/>
                <w:lang w:eastAsia="en-US"/>
              </w:rPr>
              <w:t>13</w:t>
            </w:r>
          </w:p>
        </w:tc>
      </w:tr>
      <w:tr w:rsidR="0008168C" w:rsidRPr="0008168C" w:rsidTr="0008168C">
        <w:trPr>
          <w:trHeight w:val="285"/>
          <w:jc w:val="center"/>
        </w:trPr>
        <w:tc>
          <w:tcPr>
            <w:tcW w:w="1321" w:type="dxa"/>
            <w:noWrap/>
            <w:hideMark/>
          </w:tcPr>
          <w:p w:rsidR="0008168C" w:rsidRPr="0008168C" w:rsidRDefault="0008168C" w:rsidP="0008168C">
            <w:pPr>
              <w:spacing w:before="0" w:after="0"/>
              <w:rPr>
                <w:rFonts w:eastAsia="Times New Roman" w:cs="Calibri"/>
                <w:color w:val="000000"/>
                <w:sz w:val="20"/>
                <w:szCs w:val="20"/>
                <w:lang w:eastAsia="en-US"/>
              </w:rPr>
            </w:pPr>
            <w:r w:rsidRPr="0008168C">
              <w:rPr>
                <w:rFonts w:eastAsia="Times New Roman" w:cs="Calibri"/>
                <w:color w:val="000000"/>
                <w:sz w:val="20"/>
                <w:szCs w:val="20"/>
                <w:lang w:eastAsia="en-US"/>
              </w:rPr>
              <w:t>Total</w:t>
            </w:r>
          </w:p>
        </w:tc>
        <w:tc>
          <w:tcPr>
            <w:tcW w:w="1464" w:type="dxa"/>
            <w:noWrap/>
            <w:hideMark/>
          </w:tcPr>
          <w:p w:rsidR="0008168C" w:rsidRPr="0008168C" w:rsidRDefault="0008168C" w:rsidP="0008168C">
            <w:pPr>
              <w:spacing w:before="0" w:after="0"/>
              <w:jc w:val="right"/>
              <w:rPr>
                <w:rFonts w:eastAsia="Times New Roman" w:cs="Calibri"/>
                <w:color w:val="000000"/>
                <w:sz w:val="20"/>
                <w:szCs w:val="20"/>
                <w:lang w:eastAsia="en-US"/>
              </w:rPr>
            </w:pPr>
            <w:r w:rsidRPr="0008168C">
              <w:rPr>
                <w:rFonts w:eastAsia="Times New Roman" w:cs="Calibri"/>
                <w:color w:val="000000"/>
                <w:sz w:val="20"/>
                <w:szCs w:val="20"/>
                <w:lang w:eastAsia="en-US"/>
              </w:rPr>
              <w:t>27</w:t>
            </w:r>
          </w:p>
        </w:tc>
      </w:tr>
    </w:tbl>
    <w:p w:rsidR="0008168C" w:rsidRDefault="0008168C" w:rsidP="006F06E7"/>
    <w:p w:rsidR="0008168C" w:rsidRDefault="0008168C" w:rsidP="006F06E7">
      <w:r>
        <w:t>The dataset contained __ types of features:</w:t>
      </w:r>
    </w:p>
    <w:p w:rsidR="0008168C" w:rsidRDefault="0008168C" w:rsidP="00D60B7D">
      <w:pPr>
        <w:pStyle w:val="ListParagraph"/>
        <w:numPr>
          <w:ilvl w:val="0"/>
          <w:numId w:val="5"/>
        </w:numPr>
      </w:pPr>
      <w:r>
        <w:t>Geographic – e.g. region and state</w:t>
      </w:r>
    </w:p>
    <w:p w:rsidR="0008168C" w:rsidRDefault="0008168C" w:rsidP="00D60B7D">
      <w:pPr>
        <w:pStyle w:val="ListParagraph"/>
        <w:numPr>
          <w:ilvl w:val="0"/>
          <w:numId w:val="5"/>
        </w:numPr>
      </w:pPr>
      <w:r>
        <w:t>Geological – e.g. elevation, drop and base level</w:t>
      </w:r>
    </w:p>
    <w:p w:rsidR="0008168C" w:rsidRDefault="0008168C" w:rsidP="00D60B7D">
      <w:pPr>
        <w:pStyle w:val="ListParagraph"/>
        <w:numPr>
          <w:ilvl w:val="0"/>
          <w:numId w:val="5"/>
        </w:numPr>
      </w:pPr>
      <w:r>
        <w:t>Transportation – Number and types of trams and lifts</w:t>
      </w:r>
    </w:p>
    <w:p w:rsidR="0008168C" w:rsidRDefault="0008168C" w:rsidP="00D60B7D">
      <w:pPr>
        <w:pStyle w:val="ListParagraph"/>
        <w:numPr>
          <w:ilvl w:val="0"/>
          <w:numId w:val="5"/>
        </w:numPr>
      </w:pPr>
      <w:r>
        <w:t>Ski Area – Number of runs, length of longest run, skiable terrain</w:t>
      </w:r>
    </w:p>
    <w:p w:rsidR="0008168C" w:rsidRDefault="0008168C" w:rsidP="00D60B7D">
      <w:pPr>
        <w:pStyle w:val="ListParagraph"/>
        <w:numPr>
          <w:ilvl w:val="0"/>
          <w:numId w:val="5"/>
        </w:numPr>
      </w:pPr>
      <w:r>
        <w:t>Snow – Average snowfall, and snowmaking statistics</w:t>
      </w:r>
    </w:p>
    <w:p w:rsidR="0008168C" w:rsidRDefault="0008168C" w:rsidP="00D60B7D">
      <w:pPr>
        <w:pStyle w:val="ListParagraph"/>
        <w:numPr>
          <w:ilvl w:val="0"/>
          <w:numId w:val="5"/>
        </w:numPr>
      </w:pPr>
      <w:r>
        <w:t xml:space="preserve">Open – </w:t>
      </w:r>
      <w:r w:rsidR="0081192B">
        <w:t>Past and projected d</w:t>
      </w:r>
      <w:r>
        <w:t xml:space="preserve">ays </w:t>
      </w:r>
      <w:r w:rsidR="0081192B">
        <w:t>open as well as the number of y</w:t>
      </w:r>
      <w:r>
        <w:t xml:space="preserve">ears </w:t>
      </w:r>
      <w:r w:rsidR="0081192B">
        <w:t>o</w:t>
      </w:r>
      <w:r>
        <w:t>pen</w:t>
      </w:r>
    </w:p>
    <w:p w:rsidR="0008168C" w:rsidRDefault="0081192B" w:rsidP="00D60B7D">
      <w:pPr>
        <w:pStyle w:val="ListParagraph"/>
        <w:numPr>
          <w:ilvl w:val="0"/>
          <w:numId w:val="5"/>
        </w:numPr>
      </w:pPr>
      <w:r>
        <w:t>Availability of night sking</w:t>
      </w:r>
    </w:p>
    <w:p w:rsidR="0081192B" w:rsidRDefault="0081192B" w:rsidP="00D60B7D">
      <w:pPr>
        <w:pStyle w:val="ListParagraph"/>
        <w:numPr>
          <w:ilvl w:val="0"/>
          <w:numId w:val="5"/>
        </w:numPr>
      </w:pPr>
      <w:r>
        <w:t>Price – weekday and weekend pricing</w:t>
      </w:r>
    </w:p>
    <w:p w:rsidR="004040E2" w:rsidRDefault="004040E2" w:rsidP="004040E2"/>
    <w:p w:rsidR="004040E2" w:rsidRPr="004040E2" w:rsidRDefault="004040E2" w:rsidP="004040E2">
      <w:pPr>
        <w:rPr>
          <w:b/>
        </w:rPr>
      </w:pPr>
      <w:r w:rsidRPr="004040E2">
        <w:rPr>
          <w:b/>
        </w:rPr>
        <w:t>Key observations</w:t>
      </w:r>
    </w:p>
    <w:p w:rsidR="004040E2" w:rsidRDefault="004040E2" w:rsidP="00D60B7D">
      <w:pPr>
        <w:pStyle w:val="ListParagraph"/>
        <w:numPr>
          <w:ilvl w:val="0"/>
          <w:numId w:val="7"/>
        </w:numPr>
      </w:pPr>
      <w:r>
        <w:t>Big Mountain Resort has the highest average ticket price of the resorts in Montana.</w:t>
      </w:r>
    </w:p>
    <w:p w:rsidR="0081192B" w:rsidRDefault="004040E2" w:rsidP="00D60B7D">
      <w:pPr>
        <w:pStyle w:val="ListParagraph"/>
        <w:numPr>
          <w:ilvl w:val="0"/>
          <w:numId w:val="7"/>
        </w:numPr>
      </w:pPr>
      <w:r>
        <w:t>Montana ticket prices rank 23</w:t>
      </w:r>
      <w:r w:rsidRPr="004040E2">
        <w:rPr>
          <w:vertAlign w:val="superscript"/>
        </w:rPr>
        <w:t>rd</w:t>
      </w:r>
      <w:r>
        <w:t xml:space="preserve"> of the 35 states in the data set. </w:t>
      </w:r>
    </w:p>
    <w:p w:rsidR="0081192B" w:rsidRDefault="0081192B" w:rsidP="0081192B">
      <w:pPr>
        <w:pStyle w:val="Heading1"/>
      </w:pPr>
      <w:r>
        <w:t>Categorical Features</w:t>
      </w:r>
    </w:p>
    <w:p w:rsidR="0081192B" w:rsidRDefault="00E6715A" w:rsidP="0081192B">
      <w:r>
        <w:t xml:space="preserve">We evaluated the following </w:t>
      </w:r>
      <w:r w:rsidR="0081192B">
        <w:t>categorical features included:</w:t>
      </w:r>
    </w:p>
    <w:p w:rsidR="0081192B" w:rsidRDefault="0081192B" w:rsidP="00D60B7D">
      <w:pPr>
        <w:pStyle w:val="ListParagraph"/>
        <w:numPr>
          <w:ilvl w:val="0"/>
          <w:numId w:val="8"/>
        </w:numPr>
      </w:pPr>
      <w:r>
        <w:t>Name</w:t>
      </w:r>
    </w:p>
    <w:p w:rsidR="0081192B" w:rsidRDefault="0081192B" w:rsidP="00D60B7D">
      <w:pPr>
        <w:pStyle w:val="ListParagraph"/>
        <w:numPr>
          <w:ilvl w:val="0"/>
          <w:numId w:val="8"/>
        </w:numPr>
      </w:pPr>
      <w:r>
        <w:t>Region</w:t>
      </w:r>
    </w:p>
    <w:p w:rsidR="0081192B" w:rsidRDefault="0081192B" w:rsidP="00D60B7D">
      <w:pPr>
        <w:pStyle w:val="ListParagraph"/>
        <w:numPr>
          <w:ilvl w:val="0"/>
          <w:numId w:val="8"/>
        </w:numPr>
      </w:pPr>
      <w:r>
        <w:t>State</w:t>
      </w:r>
    </w:p>
    <w:p w:rsidR="00E6715A" w:rsidRDefault="00E6715A" w:rsidP="00E6715A">
      <w:r>
        <w:t>Here are the key observations</w:t>
      </w:r>
    </w:p>
    <w:p w:rsidR="00E6715A" w:rsidRDefault="00E6715A" w:rsidP="00D60B7D">
      <w:pPr>
        <w:pStyle w:val="ListParagraph"/>
        <w:numPr>
          <w:ilvl w:val="0"/>
          <w:numId w:val="9"/>
        </w:numPr>
      </w:pPr>
      <w:r>
        <w:t>For the most part (90% of samples) Region and state are</w:t>
      </w:r>
      <w:r>
        <w:t xml:space="preserve"> the same, with some exceptions, e.g. California, Nevada, Oregan, and Utah. The exceptions make up 10% of the data. There were 38 regions and 35 states</w:t>
      </w:r>
    </w:p>
    <w:p w:rsidR="00E6715A" w:rsidRDefault="00E6715A" w:rsidP="00D60B7D">
      <w:pPr>
        <w:pStyle w:val="ListParagraph"/>
        <w:numPr>
          <w:ilvl w:val="0"/>
          <w:numId w:val="9"/>
        </w:numPr>
      </w:pPr>
      <w:r>
        <w:t>We evaluated the number of resorts by state. Montana ranked 10</w:t>
      </w:r>
      <w:r w:rsidRPr="00222281">
        <w:rPr>
          <w:vertAlign w:val="superscript"/>
        </w:rPr>
        <w:t>th</w:t>
      </w:r>
      <w:r>
        <w:t xml:space="preserve"> by region and 12</w:t>
      </w:r>
      <w:r w:rsidRPr="00222281">
        <w:rPr>
          <w:vertAlign w:val="superscript"/>
        </w:rPr>
        <w:t>th</w:t>
      </w:r>
      <w:r>
        <w:t xml:space="preserve"> by state.</w:t>
      </w:r>
    </w:p>
    <w:p w:rsidR="00E6715A" w:rsidRDefault="00E6715A" w:rsidP="00D60B7D">
      <w:pPr>
        <w:pStyle w:val="ListParagraph"/>
        <w:numPr>
          <w:ilvl w:val="0"/>
          <w:numId w:val="9"/>
        </w:numPr>
      </w:pPr>
      <w:r>
        <w:t>We computed the average ticket price by state. Key observations include:</w:t>
      </w:r>
    </w:p>
    <w:p w:rsidR="00E6715A" w:rsidRDefault="00E6715A" w:rsidP="00D60B7D">
      <w:pPr>
        <w:pStyle w:val="ListParagraph"/>
        <w:numPr>
          <w:ilvl w:val="0"/>
          <w:numId w:val="9"/>
        </w:numPr>
      </w:pPr>
      <w:r>
        <w:t>Montana has the 23</w:t>
      </w:r>
      <w:r w:rsidRPr="00222281">
        <w:rPr>
          <w:vertAlign w:val="superscript"/>
        </w:rPr>
        <w:t>rd</w:t>
      </w:r>
      <w:r>
        <w:t xml:space="preserve"> highest average ticket price out of 35 states.</w:t>
      </w:r>
    </w:p>
    <w:p w:rsidR="00E6715A" w:rsidRDefault="00E6715A" w:rsidP="00D60B7D">
      <w:pPr>
        <w:pStyle w:val="ListParagraph"/>
        <w:numPr>
          <w:ilvl w:val="0"/>
          <w:numId w:val="10"/>
        </w:numPr>
      </w:pPr>
      <w:r>
        <w:t>Weekend and weekday ticket prices followed nearly identical distributions</w:t>
      </w:r>
    </w:p>
    <w:p w:rsidR="00E6715A" w:rsidRDefault="00E6715A" w:rsidP="002424B0">
      <w:pPr>
        <w:pStyle w:val="Heading1"/>
      </w:pPr>
      <w:r>
        <w:t>Numerical Features</w:t>
      </w:r>
    </w:p>
    <w:p w:rsidR="00E6715A" w:rsidRDefault="00480BA5" w:rsidP="00E6715A">
      <w:r>
        <w:t>First, we determined the missing target values (weekday and weekend prices) and found that approximately 14% of the resorts had no price data, and another 3% were missing either weekday or weekend pricing.</w:t>
      </w:r>
    </w:p>
    <w:p w:rsidR="00480BA5" w:rsidRDefault="00480BA5" w:rsidP="00E6715A">
      <w:r>
        <w:t>Our examination of the remaining numerical features illuminated several features of concern:</w:t>
      </w:r>
    </w:p>
    <w:p w:rsidR="00480BA5" w:rsidRDefault="00480BA5" w:rsidP="00D60B7D">
      <w:pPr>
        <w:pStyle w:val="ListParagraph"/>
        <w:numPr>
          <w:ilvl w:val="0"/>
          <w:numId w:val="10"/>
        </w:numPr>
      </w:pPr>
      <w:r>
        <w:lastRenderedPageBreak/>
        <w:t>SkiableTerrain_ac because values are clustered down the low end,</w:t>
      </w:r>
    </w:p>
    <w:p w:rsidR="00480BA5" w:rsidRDefault="00480BA5" w:rsidP="00D60B7D">
      <w:pPr>
        <w:pStyle w:val="ListParagraph"/>
        <w:numPr>
          <w:ilvl w:val="0"/>
          <w:numId w:val="10"/>
        </w:numPr>
      </w:pPr>
      <w:r>
        <w:t>Snow Making_ac for the same reason,</w:t>
      </w:r>
    </w:p>
    <w:p w:rsidR="00480BA5" w:rsidRDefault="00480BA5" w:rsidP="00D60B7D">
      <w:pPr>
        <w:pStyle w:val="ListParagraph"/>
        <w:numPr>
          <w:ilvl w:val="0"/>
          <w:numId w:val="10"/>
        </w:numPr>
      </w:pPr>
      <w:r>
        <w:t>fastEight because all but one value is 0 so it has very little variance, and half the values are missing,</w:t>
      </w:r>
    </w:p>
    <w:p w:rsidR="00480BA5" w:rsidRDefault="00480BA5" w:rsidP="00D60B7D">
      <w:pPr>
        <w:pStyle w:val="ListParagraph"/>
        <w:numPr>
          <w:ilvl w:val="0"/>
          <w:numId w:val="10"/>
        </w:numPr>
      </w:pPr>
      <w:r>
        <w:t>fastSixes raises an amber flag; it has more variability, but still mostly 0,</w:t>
      </w:r>
    </w:p>
    <w:p w:rsidR="00480BA5" w:rsidRDefault="00480BA5" w:rsidP="00D60B7D">
      <w:pPr>
        <w:pStyle w:val="ListParagraph"/>
        <w:numPr>
          <w:ilvl w:val="0"/>
          <w:numId w:val="10"/>
        </w:numPr>
      </w:pPr>
      <w:r>
        <w:t>trams also may get an amber flag for the same reason,</w:t>
      </w:r>
    </w:p>
    <w:p w:rsidR="00480BA5" w:rsidRDefault="00480BA5" w:rsidP="00D60B7D">
      <w:pPr>
        <w:pStyle w:val="ListParagraph"/>
        <w:numPr>
          <w:ilvl w:val="0"/>
          <w:numId w:val="10"/>
        </w:numPr>
      </w:pPr>
      <w:r>
        <w:t>yearsOpen because most values are low but it has a maximum of 2019, which strongly suggests someone recorded calendar year rather than number of years.</w:t>
      </w:r>
    </w:p>
    <w:p w:rsidR="00480BA5" w:rsidRDefault="00480BA5" w:rsidP="00480BA5">
      <w:r>
        <w:t>The following changes were made:</w:t>
      </w:r>
    </w:p>
    <w:p w:rsidR="00480BA5" w:rsidRDefault="00480BA5" w:rsidP="00D60B7D">
      <w:pPr>
        <w:pStyle w:val="ListParagraph"/>
        <w:numPr>
          <w:ilvl w:val="0"/>
          <w:numId w:val="11"/>
        </w:numPr>
      </w:pPr>
      <w:r>
        <w:t>Skiable terrain for Silverton Mountain was changed from 26819 to 1819 based upon the Silverton Mountain website.</w:t>
      </w:r>
    </w:p>
    <w:p w:rsidR="00480BA5" w:rsidRDefault="00480BA5" w:rsidP="00D60B7D">
      <w:pPr>
        <w:pStyle w:val="ListParagraph"/>
        <w:numPr>
          <w:ilvl w:val="0"/>
          <w:numId w:val="11"/>
        </w:numPr>
      </w:pPr>
      <w:r>
        <w:t>Heavenly Mountain Resort had no ticket pricing, so it was dropped.</w:t>
      </w:r>
    </w:p>
    <w:p w:rsidR="00480BA5" w:rsidRDefault="00480BA5" w:rsidP="00D60B7D">
      <w:pPr>
        <w:pStyle w:val="ListParagraph"/>
        <w:numPr>
          <w:ilvl w:val="0"/>
          <w:numId w:val="11"/>
        </w:numPr>
      </w:pPr>
      <w:r>
        <w:t xml:space="preserve">Pine Knob Ski Resort in Michigan was dropped because of an invalid number of years open (2019). This value could mean the year that the resort will open. Since we couldn’t make a determination, it was dropped. </w:t>
      </w:r>
    </w:p>
    <w:p w:rsidR="002424B0" w:rsidRDefault="002424B0" w:rsidP="00D60B7D">
      <w:pPr>
        <w:pStyle w:val="ListParagraph"/>
        <w:numPr>
          <w:ilvl w:val="0"/>
          <w:numId w:val="11"/>
        </w:numPr>
      </w:pPr>
      <w:r>
        <w:t>The fourteen percent of rows with no pricing data were dropped.</w:t>
      </w:r>
    </w:p>
    <w:p w:rsidR="002424B0" w:rsidRDefault="002424B0" w:rsidP="002424B0"/>
    <w:p w:rsidR="002424B0" w:rsidRDefault="002424B0" w:rsidP="002424B0">
      <w:pPr>
        <w:pStyle w:val="Heading1"/>
      </w:pPr>
      <w:r>
        <w:t>Population Area Data by State</w:t>
      </w:r>
    </w:p>
    <w:p w:rsidR="002424B0" w:rsidRDefault="002424B0" w:rsidP="002424B0">
      <w:r>
        <w:t>Descriptive statistics were obtained at the state level. Population and area data were extracted from Wikipedia and added to the summary.  The summary for Montana is as follows:</w:t>
      </w:r>
    </w:p>
    <w:tbl>
      <w:tblPr>
        <w:tblW w:w="4260" w:type="dxa"/>
        <w:tblLook w:val="04A0" w:firstRow="1" w:lastRow="0" w:firstColumn="1" w:lastColumn="0" w:noHBand="0" w:noVBand="1"/>
      </w:tblPr>
      <w:tblGrid>
        <w:gridCol w:w="3040"/>
        <w:gridCol w:w="1220"/>
      </w:tblGrid>
      <w:tr w:rsidR="002424B0" w:rsidRPr="002424B0" w:rsidTr="002424B0">
        <w:trPr>
          <w:trHeight w:val="300"/>
        </w:trPr>
        <w:tc>
          <w:tcPr>
            <w:tcW w:w="304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w:t>
            </w:r>
          </w:p>
        </w:tc>
        <w:tc>
          <w:tcPr>
            <w:tcW w:w="122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Montana</w:t>
            </w:r>
          </w:p>
        </w:tc>
      </w:tr>
      <w:tr w:rsidR="002424B0" w:rsidRPr="002424B0" w:rsidTr="002424B0">
        <w:trPr>
          <w:trHeight w:val="300"/>
        </w:trPr>
        <w:tc>
          <w:tcPr>
            <w:tcW w:w="304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resorts_per_state</w:t>
            </w:r>
          </w:p>
        </w:tc>
        <w:tc>
          <w:tcPr>
            <w:tcW w:w="122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12</w:t>
            </w:r>
          </w:p>
        </w:tc>
      </w:tr>
      <w:tr w:rsidR="002424B0" w:rsidRPr="002424B0" w:rsidTr="002424B0">
        <w:trPr>
          <w:trHeight w:val="300"/>
        </w:trPr>
        <w:tc>
          <w:tcPr>
            <w:tcW w:w="304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state_total_skiable_area_ac</w:t>
            </w:r>
          </w:p>
        </w:tc>
        <w:tc>
          <w:tcPr>
            <w:tcW w:w="122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21410</w:t>
            </w:r>
          </w:p>
        </w:tc>
      </w:tr>
      <w:tr w:rsidR="002424B0" w:rsidRPr="002424B0" w:rsidTr="002424B0">
        <w:trPr>
          <w:trHeight w:val="300"/>
        </w:trPr>
        <w:tc>
          <w:tcPr>
            <w:tcW w:w="304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state_total_days_open</w:t>
            </w:r>
          </w:p>
        </w:tc>
        <w:tc>
          <w:tcPr>
            <w:tcW w:w="122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951</w:t>
            </w:r>
          </w:p>
        </w:tc>
      </w:tr>
      <w:tr w:rsidR="002424B0" w:rsidRPr="002424B0" w:rsidTr="002424B0">
        <w:trPr>
          <w:trHeight w:val="300"/>
        </w:trPr>
        <w:tc>
          <w:tcPr>
            <w:tcW w:w="304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state_total_terrain_parks</w:t>
            </w:r>
          </w:p>
        </w:tc>
        <w:tc>
          <w:tcPr>
            <w:tcW w:w="122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27</w:t>
            </w:r>
          </w:p>
        </w:tc>
      </w:tr>
      <w:tr w:rsidR="002424B0" w:rsidRPr="002424B0" w:rsidTr="002424B0">
        <w:trPr>
          <w:trHeight w:val="300"/>
        </w:trPr>
        <w:tc>
          <w:tcPr>
            <w:tcW w:w="304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state_total_nightskiing_ac</w:t>
            </w:r>
          </w:p>
        </w:tc>
        <w:tc>
          <w:tcPr>
            <w:tcW w:w="122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710</w:t>
            </w:r>
          </w:p>
        </w:tc>
      </w:tr>
      <w:tr w:rsidR="002424B0" w:rsidRPr="002424B0" w:rsidTr="002424B0">
        <w:trPr>
          <w:trHeight w:val="300"/>
        </w:trPr>
        <w:tc>
          <w:tcPr>
            <w:tcW w:w="304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state_population_x</w:t>
            </w:r>
          </w:p>
        </w:tc>
        <w:tc>
          <w:tcPr>
            <w:tcW w:w="122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1068778</w:t>
            </w:r>
          </w:p>
        </w:tc>
      </w:tr>
      <w:tr w:rsidR="002424B0" w:rsidRPr="002424B0" w:rsidTr="002424B0">
        <w:trPr>
          <w:trHeight w:val="300"/>
        </w:trPr>
        <w:tc>
          <w:tcPr>
            <w:tcW w:w="304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state_area_sq_miles_x</w:t>
            </w:r>
          </w:p>
        </w:tc>
        <w:tc>
          <w:tcPr>
            <w:tcW w:w="122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147040</w:t>
            </w:r>
          </w:p>
        </w:tc>
      </w:tr>
      <w:tr w:rsidR="002424B0" w:rsidRPr="002424B0" w:rsidTr="002424B0">
        <w:trPr>
          <w:trHeight w:val="300"/>
        </w:trPr>
        <w:tc>
          <w:tcPr>
            <w:tcW w:w="304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state_population_y</w:t>
            </w:r>
          </w:p>
        </w:tc>
        <w:tc>
          <w:tcPr>
            <w:tcW w:w="122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1068778</w:t>
            </w:r>
          </w:p>
        </w:tc>
      </w:tr>
      <w:tr w:rsidR="002424B0" w:rsidRPr="002424B0" w:rsidTr="002424B0">
        <w:trPr>
          <w:trHeight w:val="300"/>
        </w:trPr>
        <w:tc>
          <w:tcPr>
            <w:tcW w:w="304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state_area_sq_miles_y</w:t>
            </w:r>
          </w:p>
        </w:tc>
        <w:tc>
          <w:tcPr>
            <w:tcW w:w="122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147040</w:t>
            </w:r>
          </w:p>
        </w:tc>
      </w:tr>
      <w:tr w:rsidR="002424B0" w:rsidRPr="002424B0" w:rsidTr="002424B0">
        <w:trPr>
          <w:trHeight w:val="300"/>
        </w:trPr>
        <w:tc>
          <w:tcPr>
            <w:tcW w:w="304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state_population</w:t>
            </w:r>
          </w:p>
        </w:tc>
        <w:tc>
          <w:tcPr>
            <w:tcW w:w="1220" w:type="dxa"/>
            <w:tcBorders>
              <w:top w:val="nil"/>
              <w:left w:val="nil"/>
              <w:bottom w:val="nil"/>
              <w:right w:val="nil"/>
            </w:tcBorders>
            <w:shd w:val="clear" w:color="000000" w:fill="F5F5F5"/>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1068778</w:t>
            </w:r>
          </w:p>
        </w:tc>
      </w:tr>
      <w:tr w:rsidR="002424B0" w:rsidRPr="002424B0" w:rsidTr="002424B0">
        <w:trPr>
          <w:trHeight w:val="300"/>
        </w:trPr>
        <w:tc>
          <w:tcPr>
            <w:tcW w:w="304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b/>
                <w:bCs/>
                <w:color w:val="000000"/>
                <w:lang w:eastAsia="en-US"/>
              </w:rPr>
            </w:pPr>
            <w:r w:rsidRPr="002424B0">
              <w:rPr>
                <w:rFonts w:ascii="Arial" w:eastAsia="Times New Roman" w:hAnsi="Arial" w:cs="Arial"/>
                <w:b/>
                <w:bCs/>
                <w:color w:val="000000"/>
                <w:lang w:eastAsia="en-US"/>
              </w:rPr>
              <w:t>state_area_sq_miles</w:t>
            </w:r>
          </w:p>
        </w:tc>
        <w:tc>
          <w:tcPr>
            <w:tcW w:w="1220" w:type="dxa"/>
            <w:tcBorders>
              <w:top w:val="nil"/>
              <w:left w:val="nil"/>
              <w:bottom w:val="nil"/>
              <w:right w:val="nil"/>
            </w:tcBorders>
            <w:shd w:val="clear" w:color="000000" w:fill="FFFFFF"/>
            <w:vAlign w:val="center"/>
            <w:hideMark/>
          </w:tcPr>
          <w:p w:rsidR="002424B0" w:rsidRPr="002424B0" w:rsidRDefault="002424B0" w:rsidP="002424B0">
            <w:pPr>
              <w:spacing w:before="0" w:after="0"/>
              <w:jc w:val="right"/>
              <w:rPr>
                <w:rFonts w:ascii="Arial" w:eastAsia="Times New Roman" w:hAnsi="Arial" w:cs="Arial"/>
                <w:color w:val="000000"/>
                <w:lang w:eastAsia="en-US"/>
              </w:rPr>
            </w:pPr>
            <w:r w:rsidRPr="002424B0">
              <w:rPr>
                <w:rFonts w:ascii="Arial" w:eastAsia="Times New Roman" w:hAnsi="Arial" w:cs="Arial"/>
                <w:color w:val="000000"/>
                <w:lang w:eastAsia="en-US"/>
              </w:rPr>
              <w:t>147040</w:t>
            </w:r>
          </w:p>
        </w:tc>
      </w:tr>
    </w:tbl>
    <w:p w:rsidR="002424B0" w:rsidRDefault="002424B0" w:rsidP="002424B0">
      <w:pPr>
        <w:pStyle w:val="Heading1"/>
      </w:pPr>
      <w:r>
        <w:t>Target Feature</w:t>
      </w:r>
    </w:p>
    <w:p w:rsidR="002424B0" w:rsidRDefault="002424B0" w:rsidP="002424B0">
      <w:r>
        <w:t>We examined the relationship between weekday and weekend pricing and had the following observations:</w:t>
      </w:r>
    </w:p>
    <w:p w:rsidR="002424B0" w:rsidRDefault="00AC2C5A" w:rsidP="00D60B7D">
      <w:pPr>
        <w:pStyle w:val="ListParagraph"/>
        <w:numPr>
          <w:ilvl w:val="0"/>
          <w:numId w:val="12"/>
        </w:numPr>
      </w:pPr>
      <w:bookmarkStart w:id="0" w:name="_GoBack"/>
      <w:r>
        <w:t>There was a strong positive linear correlation between the two prices.</w:t>
      </w:r>
    </w:p>
    <w:p w:rsidR="00AC2C5A" w:rsidRDefault="00AC2C5A" w:rsidP="00D60B7D">
      <w:pPr>
        <w:pStyle w:val="ListParagraph"/>
        <w:numPr>
          <w:ilvl w:val="0"/>
          <w:numId w:val="12"/>
        </w:numPr>
      </w:pPr>
      <w:r>
        <w:t>At the $100 and below level, weekend prices were slightly higher than weekday prices.</w:t>
      </w:r>
    </w:p>
    <w:p w:rsidR="00A055F1" w:rsidRDefault="00A055F1" w:rsidP="00D60B7D">
      <w:pPr>
        <w:pStyle w:val="ListParagraph"/>
        <w:numPr>
          <w:ilvl w:val="0"/>
          <w:numId w:val="12"/>
        </w:numPr>
      </w:pPr>
      <w:r>
        <w:t>The weekend and weekday prices in Montana were:</w:t>
      </w:r>
    </w:p>
    <w:tbl>
      <w:tblPr>
        <w:tblW w:w="8820" w:type="dxa"/>
        <w:tblLook w:val="04A0" w:firstRow="1" w:lastRow="0" w:firstColumn="1" w:lastColumn="0" w:noHBand="0" w:noVBand="1"/>
      </w:tblPr>
      <w:tblGrid>
        <w:gridCol w:w="960"/>
        <w:gridCol w:w="2500"/>
        <w:gridCol w:w="1600"/>
        <w:gridCol w:w="1880"/>
        <w:gridCol w:w="1880"/>
      </w:tblGrid>
      <w:tr w:rsidR="00A055F1" w:rsidRPr="00A055F1" w:rsidTr="00A055F1">
        <w:trPr>
          <w:trHeight w:val="300"/>
        </w:trPr>
        <w:tc>
          <w:tcPr>
            <w:tcW w:w="960" w:type="dxa"/>
            <w:tcBorders>
              <w:top w:val="nil"/>
              <w:left w:val="nil"/>
              <w:bottom w:val="nil"/>
              <w:right w:val="nil"/>
            </w:tcBorders>
            <w:shd w:val="clear" w:color="000000" w:fill="FFFFFF"/>
            <w:vAlign w:val="center"/>
            <w:hideMark/>
          </w:tcPr>
          <w:bookmarkEnd w:id="0"/>
          <w:p w:rsidR="00A055F1" w:rsidRPr="00A055F1" w:rsidRDefault="00A055F1" w:rsidP="00A055F1">
            <w:pPr>
              <w:spacing w:before="0" w:after="0"/>
              <w:rPr>
                <w:rFonts w:ascii="Arial" w:eastAsia="Times New Roman" w:hAnsi="Arial" w:cs="Arial"/>
                <w:b/>
                <w:bCs/>
                <w:color w:val="000000"/>
                <w:lang w:eastAsia="en-US"/>
              </w:rPr>
            </w:pPr>
            <w:r w:rsidRPr="00A055F1">
              <w:rPr>
                <w:rFonts w:ascii="Arial" w:eastAsia="Times New Roman" w:hAnsi="Arial" w:cs="Arial"/>
                <w:b/>
                <w:bCs/>
                <w:color w:val="000000"/>
                <w:lang w:eastAsia="en-US"/>
              </w:rPr>
              <w:t>Name</w:t>
            </w:r>
          </w:p>
        </w:tc>
        <w:tc>
          <w:tcPr>
            <w:tcW w:w="2500" w:type="dxa"/>
            <w:tcBorders>
              <w:top w:val="nil"/>
              <w:left w:val="nil"/>
              <w:bottom w:val="nil"/>
              <w:right w:val="nil"/>
            </w:tcBorders>
            <w:shd w:val="clear" w:color="000000" w:fill="FFFFFF"/>
            <w:vAlign w:val="center"/>
            <w:hideMark/>
          </w:tcPr>
          <w:p w:rsidR="00A055F1" w:rsidRPr="00A055F1" w:rsidRDefault="00A055F1" w:rsidP="00A055F1">
            <w:pPr>
              <w:spacing w:before="0" w:after="0"/>
              <w:rPr>
                <w:rFonts w:ascii="Arial" w:eastAsia="Times New Roman" w:hAnsi="Arial" w:cs="Arial"/>
                <w:b/>
                <w:bCs/>
                <w:color w:val="000000"/>
                <w:lang w:eastAsia="en-US"/>
              </w:rPr>
            </w:pPr>
            <w:r w:rsidRPr="00A055F1">
              <w:rPr>
                <w:rFonts w:ascii="Arial" w:eastAsia="Times New Roman" w:hAnsi="Arial" w:cs="Arial"/>
                <w:b/>
                <w:bCs/>
                <w:color w:val="000000"/>
                <w:lang w:eastAsia="en-US"/>
              </w:rPr>
              <w:t> </w:t>
            </w:r>
          </w:p>
        </w:tc>
        <w:tc>
          <w:tcPr>
            <w:tcW w:w="1600" w:type="dxa"/>
            <w:tcBorders>
              <w:top w:val="nil"/>
              <w:left w:val="nil"/>
              <w:bottom w:val="nil"/>
              <w:right w:val="nil"/>
            </w:tcBorders>
            <w:shd w:val="clear" w:color="000000" w:fill="FFFFFF"/>
            <w:vAlign w:val="center"/>
            <w:hideMark/>
          </w:tcPr>
          <w:p w:rsidR="00A055F1" w:rsidRPr="00A055F1" w:rsidRDefault="00A055F1" w:rsidP="00A055F1">
            <w:pPr>
              <w:spacing w:before="0" w:after="0"/>
              <w:rPr>
                <w:rFonts w:ascii="Arial" w:eastAsia="Times New Roman" w:hAnsi="Arial" w:cs="Arial"/>
                <w:b/>
                <w:bCs/>
                <w:color w:val="000000"/>
                <w:lang w:eastAsia="en-US"/>
              </w:rPr>
            </w:pPr>
            <w:r w:rsidRPr="00A055F1">
              <w:rPr>
                <w:rFonts w:ascii="Arial" w:eastAsia="Times New Roman" w:hAnsi="Arial" w:cs="Arial"/>
                <w:b/>
                <w:bCs/>
                <w:color w:val="000000"/>
                <w:lang w:eastAsia="en-US"/>
              </w:rPr>
              <w:t>AdultWeekend</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rPr>
                <w:rFonts w:ascii="Arial" w:eastAsia="Times New Roman" w:hAnsi="Arial" w:cs="Arial"/>
                <w:b/>
                <w:bCs/>
                <w:color w:val="000000"/>
                <w:lang w:eastAsia="en-US"/>
              </w:rPr>
            </w:pPr>
            <w:r w:rsidRPr="00A055F1">
              <w:rPr>
                <w:rFonts w:ascii="Arial" w:eastAsia="Times New Roman" w:hAnsi="Arial" w:cs="Arial"/>
                <w:b/>
                <w:bCs/>
                <w:color w:val="000000"/>
                <w:lang w:eastAsia="en-US"/>
              </w:rPr>
              <w:t>AdultWeekday</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rPr>
                <w:rFonts w:ascii="Arial" w:eastAsia="Times New Roman" w:hAnsi="Arial" w:cs="Arial"/>
                <w:b/>
                <w:bCs/>
                <w:color w:val="000000"/>
                <w:lang w:eastAsia="en-US"/>
              </w:rPr>
            </w:pPr>
            <w:r w:rsidRPr="00A055F1">
              <w:rPr>
                <w:rFonts w:ascii="Arial" w:eastAsia="Times New Roman" w:hAnsi="Arial" w:cs="Arial"/>
                <w:b/>
                <w:bCs/>
                <w:color w:val="000000"/>
                <w:lang w:eastAsia="en-US"/>
              </w:rPr>
              <w:t>Average Price</w:t>
            </w:r>
          </w:p>
        </w:tc>
      </w:tr>
      <w:tr w:rsidR="00A055F1" w:rsidRPr="00A055F1" w:rsidTr="00A055F1">
        <w:trPr>
          <w:trHeight w:val="300"/>
        </w:trPr>
        <w:tc>
          <w:tcPr>
            <w:tcW w:w="96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151</w:t>
            </w:r>
          </w:p>
        </w:tc>
        <w:tc>
          <w:tcPr>
            <w:tcW w:w="25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Big Mountain Resort</w:t>
            </w:r>
          </w:p>
        </w:tc>
        <w:tc>
          <w:tcPr>
            <w:tcW w:w="16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81</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81</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81</w:t>
            </w:r>
          </w:p>
        </w:tc>
      </w:tr>
      <w:tr w:rsidR="00A055F1" w:rsidRPr="00A055F1" w:rsidTr="00A055F1">
        <w:trPr>
          <w:trHeight w:val="300"/>
        </w:trPr>
        <w:tc>
          <w:tcPr>
            <w:tcW w:w="96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148</w:t>
            </w:r>
          </w:p>
        </w:tc>
        <w:tc>
          <w:tcPr>
            <w:tcW w:w="25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Red Lodge Mountain</w:t>
            </w:r>
          </w:p>
        </w:tc>
        <w:tc>
          <w:tcPr>
            <w:tcW w:w="16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67</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67</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67</w:t>
            </w:r>
          </w:p>
        </w:tc>
      </w:tr>
      <w:tr w:rsidR="00A055F1" w:rsidRPr="00A055F1" w:rsidTr="00A055F1">
        <w:trPr>
          <w:trHeight w:val="300"/>
        </w:trPr>
        <w:tc>
          <w:tcPr>
            <w:tcW w:w="96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142</w:t>
            </w:r>
          </w:p>
        </w:tc>
        <w:tc>
          <w:tcPr>
            <w:tcW w:w="25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Bridger Bowl</w:t>
            </w:r>
          </w:p>
        </w:tc>
        <w:tc>
          <w:tcPr>
            <w:tcW w:w="16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63</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63</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63</w:t>
            </w:r>
          </w:p>
        </w:tc>
      </w:tr>
      <w:tr w:rsidR="00A055F1" w:rsidRPr="00A055F1" w:rsidTr="00A055F1">
        <w:trPr>
          <w:trHeight w:val="300"/>
        </w:trPr>
        <w:tc>
          <w:tcPr>
            <w:tcW w:w="96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147</w:t>
            </w:r>
          </w:p>
        </w:tc>
        <w:tc>
          <w:tcPr>
            <w:tcW w:w="25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Montana Snowbowl</w:t>
            </w:r>
          </w:p>
        </w:tc>
        <w:tc>
          <w:tcPr>
            <w:tcW w:w="16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50</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50</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50</w:t>
            </w:r>
          </w:p>
        </w:tc>
      </w:tr>
      <w:tr w:rsidR="00A055F1" w:rsidRPr="00A055F1" w:rsidTr="00A055F1">
        <w:trPr>
          <w:trHeight w:val="300"/>
        </w:trPr>
        <w:tc>
          <w:tcPr>
            <w:tcW w:w="96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143</w:t>
            </w:r>
          </w:p>
        </w:tc>
        <w:tc>
          <w:tcPr>
            <w:tcW w:w="25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Discovery Ski Area</w:t>
            </w:r>
          </w:p>
        </w:tc>
        <w:tc>
          <w:tcPr>
            <w:tcW w:w="16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49</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49</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49</w:t>
            </w:r>
          </w:p>
        </w:tc>
      </w:tr>
      <w:tr w:rsidR="00A055F1" w:rsidRPr="00A055F1" w:rsidTr="00A055F1">
        <w:trPr>
          <w:trHeight w:val="300"/>
        </w:trPr>
        <w:tc>
          <w:tcPr>
            <w:tcW w:w="96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lastRenderedPageBreak/>
              <w:t>144</w:t>
            </w:r>
          </w:p>
        </w:tc>
        <w:tc>
          <w:tcPr>
            <w:tcW w:w="25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Great Divide</w:t>
            </w:r>
          </w:p>
        </w:tc>
        <w:tc>
          <w:tcPr>
            <w:tcW w:w="16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48</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48</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48</w:t>
            </w:r>
          </w:p>
        </w:tc>
      </w:tr>
      <w:tr w:rsidR="00A055F1" w:rsidRPr="00A055F1" w:rsidTr="00A055F1">
        <w:trPr>
          <w:trHeight w:val="300"/>
        </w:trPr>
        <w:tc>
          <w:tcPr>
            <w:tcW w:w="96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149</w:t>
            </w:r>
          </w:p>
        </w:tc>
        <w:tc>
          <w:tcPr>
            <w:tcW w:w="25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Showdown Montana</w:t>
            </w:r>
          </w:p>
        </w:tc>
        <w:tc>
          <w:tcPr>
            <w:tcW w:w="16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47</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47</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47</w:t>
            </w:r>
          </w:p>
        </w:tc>
      </w:tr>
      <w:tr w:rsidR="00A055F1" w:rsidRPr="00A055F1" w:rsidTr="00A055F1">
        <w:trPr>
          <w:trHeight w:val="300"/>
        </w:trPr>
        <w:tc>
          <w:tcPr>
            <w:tcW w:w="96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145</w:t>
            </w:r>
          </w:p>
        </w:tc>
        <w:tc>
          <w:tcPr>
            <w:tcW w:w="25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Lost Trail - Powder Mtn</w:t>
            </w:r>
          </w:p>
        </w:tc>
        <w:tc>
          <w:tcPr>
            <w:tcW w:w="16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46</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46</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46</w:t>
            </w:r>
          </w:p>
        </w:tc>
      </w:tr>
      <w:tr w:rsidR="00A055F1" w:rsidRPr="00A055F1" w:rsidTr="00A055F1">
        <w:trPr>
          <w:trHeight w:val="300"/>
        </w:trPr>
        <w:tc>
          <w:tcPr>
            <w:tcW w:w="96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141</w:t>
            </w:r>
          </w:p>
        </w:tc>
        <w:tc>
          <w:tcPr>
            <w:tcW w:w="25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Blacktail Mountain Ski Area</w:t>
            </w:r>
          </w:p>
        </w:tc>
        <w:tc>
          <w:tcPr>
            <w:tcW w:w="160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42</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42</w:t>
            </w:r>
          </w:p>
        </w:tc>
        <w:tc>
          <w:tcPr>
            <w:tcW w:w="1880" w:type="dxa"/>
            <w:tcBorders>
              <w:top w:val="nil"/>
              <w:left w:val="nil"/>
              <w:bottom w:val="nil"/>
              <w:right w:val="nil"/>
            </w:tcBorders>
            <w:shd w:val="clear" w:color="000000" w:fill="F5F5F5"/>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42</w:t>
            </w:r>
          </w:p>
        </w:tc>
      </w:tr>
      <w:tr w:rsidR="00A055F1" w:rsidRPr="00A055F1" w:rsidTr="00A055F1">
        <w:trPr>
          <w:trHeight w:val="300"/>
        </w:trPr>
        <w:tc>
          <w:tcPr>
            <w:tcW w:w="96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146</w:t>
            </w:r>
          </w:p>
        </w:tc>
        <w:tc>
          <w:tcPr>
            <w:tcW w:w="25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Maverick Mountain</w:t>
            </w:r>
          </w:p>
        </w:tc>
        <w:tc>
          <w:tcPr>
            <w:tcW w:w="16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39</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39</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39</w:t>
            </w:r>
          </w:p>
        </w:tc>
      </w:tr>
      <w:tr w:rsidR="00A055F1" w:rsidRPr="00A055F1" w:rsidTr="00A055F1">
        <w:trPr>
          <w:trHeight w:val="300"/>
        </w:trPr>
        <w:tc>
          <w:tcPr>
            <w:tcW w:w="96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b/>
                <w:bCs/>
                <w:color w:val="000000"/>
                <w:lang w:eastAsia="en-US"/>
              </w:rPr>
            </w:pPr>
            <w:r w:rsidRPr="00A055F1">
              <w:rPr>
                <w:rFonts w:ascii="Arial" w:eastAsia="Times New Roman" w:hAnsi="Arial" w:cs="Arial"/>
                <w:b/>
                <w:bCs/>
                <w:color w:val="000000"/>
                <w:lang w:eastAsia="en-US"/>
              </w:rPr>
              <w:t>150</w:t>
            </w:r>
          </w:p>
        </w:tc>
        <w:tc>
          <w:tcPr>
            <w:tcW w:w="25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Teton Pass Ski Resort</w:t>
            </w:r>
          </w:p>
        </w:tc>
        <w:tc>
          <w:tcPr>
            <w:tcW w:w="160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39</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39</w:t>
            </w:r>
          </w:p>
        </w:tc>
        <w:tc>
          <w:tcPr>
            <w:tcW w:w="1880" w:type="dxa"/>
            <w:tcBorders>
              <w:top w:val="nil"/>
              <w:left w:val="nil"/>
              <w:bottom w:val="nil"/>
              <w:right w:val="nil"/>
            </w:tcBorders>
            <w:shd w:val="clear" w:color="000000" w:fill="FFFFFF"/>
            <w:vAlign w:val="center"/>
            <w:hideMark/>
          </w:tcPr>
          <w:p w:rsidR="00A055F1" w:rsidRPr="00A055F1" w:rsidRDefault="00A055F1" w:rsidP="00A055F1">
            <w:pPr>
              <w:spacing w:before="0" w:after="0"/>
              <w:jc w:val="right"/>
              <w:rPr>
                <w:rFonts w:ascii="Arial" w:eastAsia="Times New Roman" w:hAnsi="Arial" w:cs="Arial"/>
                <w:color w:val="000000"/>
                <w:lang w:eastAsia="en-US"/>
              </w:rPr>
            </w:pPr>
            <w:r w:rsidRPr="00A055F1">
              <w:rPr>
                <w:rFonts w:ascii="Arial" w:eastAsia="Times New Roman" w:hAnsi="Arial" w:cs="Arial"/>
                <w:color w:val="000000"/>
                <w:lang w:eastAsia="en-US"/>
              </w:rPr>
              <w:t>39</w:t>
            </w:r>
          </w:p>
        </w:tc>
      </w:tr>
    </w:tbl>
    <w:p w:rsidR="00A055F1" w:rsidRPr="00A055F1" w:rsidRDefault="00A055F1" w:rsidP="00D60B7D">
      <w:pPr>
        <w:pStyle w:val="ListParagraph"/>
        <w:numPr>
          <w:ilvl w:val="0"/>
          <w:numId w:val="6"/>
        </w:numPr>
        <w:rPr>
          <w:b/>
        </w:rPr>
      </w:pPr>
      <w:r w:rsidRPr="00A055F1">
        <w:rPr>
          <w:b/>
        </w:rPr>
        <w:t>Note that Big Mountain Resort has the highest average price of the resorts in Montana.</w:t>
      </w:r>
    </w:p>
    <w:sectPr w:rsidR="00A055F1" w:rsidRPr="00A055F1">
      <w:headerReference w:type="default" r:id="rId8"/>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B7D" w:rsidRDefault="00D60B7D">
      <w:r>
        <w:separator/>
      </w:r>
    </w:p>
  </w:endnote>
  <w:endnote w:type="continuationSeparator" w:id="0">
    <w:p w:rsidR="00D60B7D" w:rsidRDefault="00D60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222281">
      <w:t>3</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B7D" w:rsidRDefault="00D60B7D">
      <w:r>
        <w:separator/>
      </w:r>
    </w:p>
  </w:footnote>
  <w:footnote w:type="continuationSeparator" w:id="0">
    <w:p w:rsidR="00D60B7D" w:rsidRDefault="00D60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CDF" w:rsidRDefault="006F06E7" w:rsidP="007D6CDF">
    <w:pPr>
      <w:pStyle w:val="Title"/>
    </w:pPr>
    <w:r>
      <w:t>Big Mountain Data Quality Review</w:t>
    </w:r>
  </w:p>
  <w:p w:rsidR="007D6CDF" w:rsidRDefault="007D6CDF" w:rsidP="007D6CDF">
    <w:pPr>
      <w:pStyle w:val="Header"/>
    </w:pPr>
    <w:r>
      <w:t>14 August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C286C"/>
    <w:multiLevelType w:val="hybridMultilevel"/>
    <w:tmpl w:val="328217A2"/>
    <w:lvl w:ilvl="0" w:tplc="4330D6C6">
      <w:start w:val="1"/>
      <w:numFmt w:val="bullet"/>
      <w:lvlText w:val="*"/>
      <w:lvlJc w:val="left"/>
      <w:pPr>
        <w:ind w:left="1080" w:hanging="360"/>
      </w:pPr>
      <w:rPr>
        <w:rFonts w:ascii="Open Sans" w:hAnsi="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B195B"/>
    <w:multiLevelType w:val="hybridMultilevel"/>
    <w:tmpl w:val="BF2EEA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5A31C79"/>
    <w:multiLevelType w:val="hybridMultilevel"/>
    <w:tmpl w:val="FA0419C8"/>
    <w:lvl w:ilvl="0" w:tplc="4330D6C6">
      <w:start w:val="1"/>
      <w:numFmt w:val="bullet"/>
      <w:lvlText w:val="*"/>
      <w:lvlJc w:val="left"/>
      <w:pPr>
        <w:ind w:left="720" w:hanging="360"/>
      </w:pPr>
      <w:rPr>
        <w:rFonts w:ascii="Open Sans" w:hAnsi="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935B7"/>
    <w:multiLevelType w:val="hybridMultilevel"/>
    <w:tmpl w:val="F3B2A034"/>
    <w:lvl w:ilvl="0" w:tplc="4330D6C6">
      <w:start w:val="1"/>
      <w:numFmt w:val="bullet"/>
      <w:lvlText w:val="*"/>
      <w:lvlJc w:val="left"/>
      <w:pPr>
        <w:ind w:left="720" w:hanging="360"/>
      </w:pPr>
      <w:rPr>
        <w:rFonts w:ascii="Open Sans" w:hAnsi="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5" w15:restartNumberingAfterBreak="0">
    <w:nsid w:val="58155696"/>
    <w:multiLevelType w:val="multilevel"/>
    <w:tmpl w:val="B94412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8FE40E4"/>
    <w:multiLevelType w:val="hybridMultilevel"/>
    <w:tmpl w:val="3692E2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D54C8"/>
    <w:multiLevelType w:val="hybridMultilevel"/>
    <w:tmpl w:val="9424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9" w15:restartNumberingAfterBreak="0">
    <w:nsid w:val="76A61C79"/>
    <w:multiLevelType w:val="hybridMultilevel"/>
    <w:tmpl w:val="E680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717D4"/>
    <w:multiLevelType w:val="hybridMultilevel"/>
    <w:tmpl w:val="C5C0C824"/>
    <w:lvl w:ilvl="0" w:tplc="4330D6C6">
      <w:start w:val="1"/>
      <w:numFmt w:val="bullet"/>
      <w:lvlText w:val="*"/>
      <w:lvlJc w:val="left"/>
      <w:pPr>
        <w:ind w:left="720" w:hanging="360"/>
      </w:pPr>
      <w:rPr>
        <w:rFonts w:ascii="Open Sans" w:hAnsi="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5"/>
  </w:num>
  <w:num w:numId="5">
    <w:abstractNumId w:val="9"/>
  </w:num>
  <w:num w:numId="6">
    <w:abstractNumId w:val="1"/>
  </w:num>
  <w:num w:numId="7">
    <w:abstractNumId w:val="7"/>
  </w:num>
  <w:num w:numId="8">
    <w:abstractNumId w:val="10"/>
  </w:num>
  <w:num w:numId="9">
    <w:abstractNumId w:val="6"/>
  </w:num>
  <w:num w:numId="10">
    <w:abstractNumId w:val="0"/>
  </w:num>
  <w:num w:numId="11">
    <w:abstractNumId w:val="2"/>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wNDQ3NzQztjS0NDJS0lEKTi0uzszPAykwrwUAVPeeIiwAAAA="/>
  </w:docVars>
  <w:rsids>
    <w:rsidRoot w:val="006F06E7"/>
    <w:rsid w:val="0008168C"/>
    <w:rsid w:val="00083B37"/>
    <w:rsid w:val="000A0612"/>
    <w:rsid w:val="000C7185"/>
    <w:rsid w:val="001A728E"/>
    <w:rsid w:val="001B049F"/>
    <w:rsid w:val="001E042A"/>
    <w:rsid w:val="00212427"/>
    <w:rsid w:val="00215249"/>
    <w:rsid w:val="00222281"/>
    <w:rsid w:val="00223095"/>
    <w:rsid w:val="00225505"/>
    <w:rsid w:val="002424B0"/>
    <w:rsid w:val="002805E4"/>
    <w:rsid w:val="002E3368"/>
    <w:rsid w:val="003312ED"/>
    <w:rsid w:val="00331BC4"/>
    <w:rsid w:val="003852E1"/>
    <w:rsid w:val="003F198E"/>
    <w:rsid w:val="004018C1"/>
    <w:rsid w:val="004040E2"/>
    <w:rsid w:val="004727F4"/>
    <w:rsid w:val="00480BA5"/>
    <w:rsid w:val="004A0A8D"/>
    <w:rsid w:val="004D682F"/>
    <w:rsid w:val="00517D8E"/>
    <w:rsid w:val="00562F96"/>
    <w:rsid w:val="00574148"/>
    <w:rsid w:val="00575B92"/>
    <w:rsid w:val="0058296C"/>
    <w:rsid w:val="00590E4E"/>
    <w:rsid w:val="005B79BD"/>
    <w:rsid w:val="005D4DC9"/>
    <w:rsid w:val="005F7999"/>
    <w:rsid w:val="006158BA"/>
    <w:rsid w:val="006224B8"/>
    <w:rsid w:val="00626EDA"/>
    <w:rsid w:val="006D7FF8"/>
    <w:rsid w:val="006F06E7"/>
    <w:rsid w:val="007023C2"/>
    <w:rsid w:val="00704472"/>
    <w:rsid w:val="007204C3"/>
    <w:rsid w:val="00770FD5"/>
    <w:rsid w:val="00791457"/>
    <w:rsid w:val="007D6CDF"/>
    <w:rsid w:val="007F372E"/>
    <w:rsid w:val="00803C3D"/>
    <w:rsid w:val="00805BAE"/>
    <w:rsid w:val="0081192B"/>
    <w:rsid w:val="008931F6"/>
    <w:rsid w:val="008D5E06"/>
    <w:rsid w:val="008D6D77"/>
    <w:rsid w:val="00954BFF"/>
    <w:rsid w:val="00983F24"/>
    <w:rsid w:val="00A055F1"/>
    <w:rsid w:val="00AA316B"/>
    <w:rsid w:val="00AC2C5A"/>
    <w:rsid w:val="00AE6C62"/>
    <w:rsid w:val="00B95A29"/>
    <w:rsid w:val="00BC1FD2"/>
    <w:rsid w:val="00BF7001"/>
    <w:rsid w:val="00C04DC4"/>
    <w:rsid w:val="00C46AA9"/>
    <w:rsid w:val="00C92C41"/>
    <w:rsid w:val="00CF3DF4"/>
    <w:rsid w:val="00D57E3E"/>
    <w:rsid w:val="00D603FB"/>
    <w:rsid w:val="00D60B7D"/>
    <w:rsid w:val="00DB24CB"/>
    <w:rsid w:val="00DF5013"/>
    <w:rsid w:val="00E6715A"/>
    <w:rsid w:val="00E9640A"/>
    <w:rsid w:val="00F1586E"/>
    <w:rsid w:val="00F2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A77A8-1F14-4426-A6F0-977E98A4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62"/>
    <w:pPr>
      <w:spacing w:before="120" w:after="120" w:line="240" w:lineRule="auto"/>
    </w:pPr>
    <w:rPr>
      <w:rFonts w:ascii="Ebrima" w:hAnsi="Ebrima"/>
    </w:rPr>
  </w:style>
  <w:style w:type="paragraph" w:styleId="Heading1">
    <w:name w:val="heading 1"/>
    <w:basedOn w:val="Normal"/>
    <w:next w:val="Normal"/>
    <w:link w:val="Heading1Char"/>
    <w:uiPriority w:val="9"/>
    <w:qFormat/>
    <w:rsid w:val="006224B8"/>
    <w:pPr>
      <w:keepNext/>
      <w:keepLines/>
      <w:numPr>
        <w:numId w:val="4"/>
      </w:numPr>
      <w:outlineLvl w:val="0"/>
    </w:pPr>
    <w:rPr>
      <w:b/>
      <w:bCs/>
      <w:color w:val="2E74B5" w:themeColor="accent1" w:themeShade="BF"/>
      <w:sz w:val="24"/>
    </w:rPr>
  </w:style>
  <w:style w:type="paragraph" w:styleId="Heading2">
    <w:name w:val="heading 2"/>
    <w:basedOn w:val="Normal"/>
    <w:next w:val="Normal"/>
    <w:link w:val="Heading2Char"/>
    <w:uiPriority w:val="9"/>
    <w:unhideWhenUsed/>
    <w:qFormat/>
    <w:rsid w:val="006224B8"/>
    <w:pPr>
      <w:keepNext/>
      <w:keepLines/>
      <w:numPr>
        <w:ilvl w:val="1"/>
        <w:numId w:val="3"/>
      </w:numPr>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6224B8"/>
    <w:pPr>
      <w:keepNext/>
      <w:keepLines/>
      <w:numPr>
        <w:ilvl w:val="2"/>
        <w:numId w:val="4"/>
      </w:numPr>
      <w:outlineLvl w:val="2"/>
    </w:pPr>
    <w:rPr>
      <w:b/>
      <w:bCs/>
      <w:color w:val="2E74B5" w:themeColor="accent1" w:themeShade="BF"/>
      <w:sz w:val="20"/>
      <w:szCs w:val="20"/>
    </w:rPr>
  </w:style>
  <w:style w:type="paragraph" w:styleId="Heading4">
    <w:name w:val="heading 4"/>
    <w:basedOn w:val="Normal"/>
    <w:next w:val="Normal"/>
    <w:link w:val="Heading4Char"/>
    <w:uiPriority w:val="9"/>
    <w:semiHidden/>
    <w:unhideWhenUsed/>
    <w:qFormat/>
    <w:rsid w:val="006224B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24B8"/>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24B8"/>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224B8"/>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224B8"/>
    <w:pPr>
      <w:keepNext/>
      <w:keepLines/>
      <w:numPr>
        <w:ilvl w:val="7"/>
        <w:numId w:val="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224B8"/>
    <w:pPr>
      <w:keepNext/>
      <w:keepLines/>
      <w:numPr>
        <w:ilvl w:val="8"/>
        <w:numId w:val="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70FD5"/>
    <w:pPr>
      <w:pBdr>
        <w:left w:val="double" w:sz="18" w:space="4" w:color="1F4E79" w:themeColor="accent1" w:themeShade="80"/>
      </w:pBdr>
      <w:spacing w:line="420" w:lineRule="exact"/>
    </w:pPr>
    <w:rPr>
      <w:rFonts w:asciiTheme="majorHAnsi" w:eastAsiaTheme="majorEastAsia" w:hAnsiTheme="majorHAnsi" w:cstheme="majorBidi"/>
      <w:color w:val="1F4E79" w:themeColor="accent1" w:themeShade="80"/>
      <w:kern w:val="28"/>
      <w:sz w:val="38"/>
    </w:rPr>
  </w:style>
  <w:style w:type="character" w:customStyle="1" w:styleId="TitleChar">
    <w:name w:val="Title Char"/>
    <w:basedOn w:val="DefaultParagraphFont"/>
    <w:link w:val="Title"/>
    <w:uiPriority w:val="1"/>
    <w:rsid w:val="00770FD5"/>
    <w:rPr>
      <w:rFonts w:asciiTheme="majorHAnsi" w:eastAsiaTheme="majorEastAsia" w:hAnsiTheme="majorHAnsi" w:cstheme="majorBidi"/>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BF7001"/>
    <w:pPr>
      <w:numPr>
        <w:ilvl w:val="1"/>
      </w:numPr>
      <w:spacing w:before="8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BF7001"/>
    <w:rPr>
      <w:rFonts w:ascii="Ebrima" w:hAnsi="Ebrima"/>
      <w:b/>
      <w:bCs/>
      <w:color w:val="2E74B5" w:themeColor="accent1" w:themeShade="BF"/>
      <w:sz w:val="24"/>
    </w:rPr>
  </w:style>
  <w:style w:type="character" w:customStyle="1" w:styleId="Heading1Char">
    <w:name w:val="Heading 1 Char"/>
    <w:basedOn w:val="DefaultParagraphFont"/>
    <w:link w:val="Heading1"/>
    <w:uiPriority w:val="9"/>
    <w:rsid w:val="006224B8"/>
    <w:rPr>
      <w:rFonts w:ascii="Ebrima" w:hAnsi="Ebrima"/>
      <w:b/>
      <w:bCs/>
      <w:color w:val="2E74B5" w:themeColor="accent1" w:themeShade="BF"/>
      <w:sz w:val="24"/>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3852E1"/>
    <w:rPr>
      <w:rFonts w:ascii="Ebrima" w:hAnsi="Ebrima"/>
      <w:b/>
      <w:bCs/>
      <w:color w:val="2E74B5" w:themeColor="accent1" w:themeShade="BF"/>
      <w:sz w:val="20"/>
      <w:szCs w:val="20"/>
    </w:rPr>
  </w:style>
  <w:style w:type="character" w:customStyle="1" w:styleId="Heading2Char">
    <w:name w:val="Heading 2 Char"/>
    <w:basedOn w:val="DefaultParagraphFont"/>
    <w:link w:val="Heading2"/>
    <w:uiPriority w:val="9"/>
    <w:rsid w:val="006224B8"/>
    <w:rPr>
      <w:rFonts w:ascii="Ebrima" w:hAnsi="Ebrima"/>
      <w:b/>
      <w:bCs/>
      <w:color w:val="2E74B5" w:themeColor="accent1" w:themeShade="BF"/>
      <w:sz w:val="24"/>
    </w:rPr>
  </w:style>
  <w:style w:type="paragraph" w:styleId="ListBullet">
    <w:name w:val="List Bullet"/>
    <w:basedOn w:val="Normal"/>
    <w:uiPriority w:val="11"/>
    <w:unhideWhenUsed/>
    <w:qFormat/>
    <w:pPr>
      <w:numPr>
        <w:numId w:val="1"/>
      </w:numPr>
      <w:spacing w:after="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2"/>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562F96"/>
    <w:pPr>
      <w:ind w:left="720"/>
      <w:contextualSpacing/>
    </w:pPr>
  </w:style>
  <w:style w:type="character" w:customStyle="1" w:styleId="Heading6Char">
    <w:name w:val="Heading 6 Char"/>
    <w:basedOn w:val="DefaultParagraphFont"/>
    <w:link w:val="Heading6"/>
    <w:uiPriority w:val="9"/>
    <w:semiHidden/>
    <w:rsid w:val="003852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52E1"/>
    <w:rPr>
      <w:rFonts w:asciiTheme="majorHAnsi" w:eastAsiaTheme="majorEastAsia" w:hAnsiTheme="majorHAnsi" w:cstheme="majorBidi"/>
      <w:i/>
      <w:iCs/>
      <w:color w:val="1F4D78" w:themeColor="accent1" w:themeShade="7F"/>
    </w:rPr>
  </w:style>
  <w:style w:type="paragraph" w:styleId="Bibliography">
    <w:name w:val="Bibliography"/>
    <w:basedOn w:val="Normal"/>
    <w:next w:val="Normal"/>
    <w:uiPriority w:val="37"/>
    <w:unhideWhenUsed/>
    <w:rsid w:val="00983F24"/>
    <w:pPr>
      <w:spacing w:line="480" w:lineRule="auto"/>
      <w:ind w:left="720" w:hanging="720"/>
    </w:pPr>
  </w:style>
  <w:style w:type="table" w:styleId="GridTable7Colorful-Accent1">
    <w:name w:val="Grid Table 7 Colorful Accent 1"/>
    <w:basedOn w:val="TableNormal"/>
    <w:uiPriority w:val="52"/>
    <w:rsid w:val="0021242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1Light-Accent1">
    <w:name w:val="List Table 1 Light Accent 1"/>
    <w:basedOn w:val="TableNormal"/>
    <w:uiPriority w:val="46"/>
    <w:rsid w:val="00212427"/>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590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QuoteBlock">
    <w:name w:val="Quote Block"/>
    <w:basedOn w:val="TipText"/>
    <w:qFormat/>
    <w:rsid w:val="00F26B4B"/>
    <w:pPr>
      <w:ind w:left="720"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238">
      <w:bodyDiv w:val="1"/>
      <w:marLeft w:val="0"/>
      <w:marRight w:val="0"/>
      <w:marTop w:val="0"/>
      <w:marBottom w:val="0"/>
      <w:divBdr>
        <w:top w:val="none" w:sz="0" w:space="0" w:color="auto"/>
        <w:left w:val="none" w:sz="0" w:space="0" w:color="auto"/>
        <w:bottom w:val="none" w:sz="0" w:space="0" w:color="auto"/>
        <w:right w:val="none" w:sz="0" w:space="0" w:color="auto"/>
      </w:divBdr>
    </w:div>
    <w:div w:id="182476885">
      <w:bodyDiv w:val="1"/>
      <w:marLeft w:val="0"/>
      <w:marRight w:val="0"/>
      <w:marTop w:val="0"/>
      <w:marBottom w:val="0"/>
      <w:divBdr>
        <w:top w:val="none" w:sz="0" w:space="0" w:color="auto"/>
        <w:left w:val="none" w:sz="0" w:space="0" w:color="auto"/>
        <w:bottom w:val="none" w:sz="0" w:space="0" w:color="auto"/>
        <w:right w:val="none" w:sz="0" w:space="0" w:color="auto"/>
      </w:divBdr>
    </w:div>
    <w:div w:id="428964049">
      <w:bodyDiv w:val="1"/>
      <w:marLeft w:val="0"/>
      <w:marRight w:val="0"/>
      <w:marTop w:val="0"/>
      <w:marBottom w:val="0"/>
      <w:divBdr>
        <w:top w:val="none" w:sz="0" w:space="0" w:color="auto"/>
        <w:left w:val="none" w:sz="0" w:space="0" w:color="auto"/>
        <w:bottom w:val="none" w:sz="0" w:space="0" w:color="auto"/>
        <w:right w:val="none" w:sz="0" w:space="0" w:color="auto"/>
      </w:divBdr>
    </w:div>
    <w:div w:id="652104425">
      <w:bodyDiv w:val="1"/>
      <w:marLeft w:val="0"/>
      <w:marRight w:val="0"/>
      <w:marTop w:val="0"/>
      <w:marBottom w:val="0"/>
      <w:divBdr>
        <w:top w:val="none" w:sz="0" w:space="0" w:color="auto"/>
        <w:left w:val="none" w:sz="0" w:space="0" w:color="auto"/>
        <w:bottom w:val="none" w:sz="0" w:space="0" w:color="auto"/>
        <w:right w:val="none" w:sz="0" w:space="0" w:color="auto"/>
      </w:divBdr>
    </w:div>
    <w:div w:id="1035036637">
      <w:bodyDiv w:val="1"/>
      <w:marLeft w:val="0"/>
      <w:marRight w:val="0"/>
      <w:marTop w:val="0"/>
      <w:marBottom w:val="0"/>
      <w:divBdr>
        <w:top w:val="none" w:sz="0" w:space="0" w:color="auto"/>
        <w:left w:val="none" w:sz="0" w:space="0" w:color="auto"/>
        <w:bottom w:val="none" w:sz="0" w:space="0" w:color="auto"/>
        <w:right w:val="none" w:sz="0" w:space="0" w:color="auto"/>
      </w:divBdr>
    </w:div>
    <w:div w:id="1150974663">
      <w:bodyDiv w:val="1"/>
      <w:marLeft w:val="0"/>
      <w:marRight w:val="0"/>
      <w:marTop w:val="0"/>
      <w:marBottom w:val="0"/>
      <w:divBdr>
        <w:top w:val="none" w:sz="0" w:space="0" w:color="auto"/>
        <w:left w:val="none" w:sz="0" w:space="0" w:color="auto"/>
        <w:bottom w:val="none" w:sz="0" w:space="0" w:color="auto"/>
        <w:right w:val="none" w:sz="0" w:space="0" w:color="auto"/>
      </w:divBdr>
    </w:div>
    <w:div w:id="15004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Custom%20Office%20Templates\Project%20Overview.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FB739-51BB-4456-A048-7E1CA02D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Overview.dotx</Template>
  <TotalTime>102</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4</cp:revision>
  <dcterms:created xsi:type="dcterms:W3CDTF">2020-08-26T23:24:00Z</dcterms:created>
  <dcterms:modified xsi:type="dcterms:W3CDTF">2020-08-27T01:06:00Z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Citation Style_1">
    <vt:lpwstr>http://www.zotero.org/styles/apa</vt:lpwstr>
  </property>
  <property fmtid="{D5CDD505-2E9C-101B-9397-08002B2CF9AE}" pid="30" name="Mendeley Unique User Id_1">
    <vt:lpwstr>73479c3d-9897-3009-b4e0-f5591190eb0b</vt:lpwstr>
  </property>
  <property fmtid="{D5CDD505-2E9C-101B-9397-08002B2CF9AE}" pid="31" name="ZOTERO_PREF_1">
    <vt:lpwstr>&lt;data data-version="3" zotero-version="5.0.89"&gt;&lt;session id="Ii23UnmI"/&gt;&lt;style id="http://www.zotero.org/styles/apa" locale="en-US" hasBibliography="1" bibliographyStyleHasBeenSet="1"/&gt;&lt;prefs&gt;&lt;pref name="fieldType" value="Field"/&gt;&lt;pref name="automaticJourn</vt:lpwstr>
  </property>
  <property fmtid="{D5CDD505-2E9C-101B-9397-08002B2CF9AE}" pid="32" name="ZOTERO_PREF_2">
    <vt:lpwstr>alAbbreviations" value="true"/&gt;&lt;/prefs&gt;&lt;/data&gt;</vt:lpwstr>
  </property>
</Properties>
</file>