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TACTI(C)-R: A Unified Framework for Adaptive Agentic Systems</w:t>
      </w:r>
    </w:p>
    <w:p>
      <w:r>
        <w:t>Bridging Human Cognitive Architecture with Artificial Intelligence in the Age of Autonomous Agents</w:t>
      </w:r>
    </w:p>
    <w:p/>
    <w:p>
      <w:r>
        <w:t>Heath Yeager</w:t>
      </w:r>
    </w:p>
    <w:p>
      <w:r>
        <w:t>February 2026</w:t>
      </w:r>
    </w:p>
    <w:p/>
    <w:p>
      <w:pPr>
        <w:pStyle w:val="Heading1"/>
      </w:pPr>
      <w:r>
        <w:t>Abstract</w:t>
      </w:r>
    </w:p>
    <w:p>
      <w:r>
        <w:t>TACTI(C)-R is a design framework for agentic AI systems that must operate continuously, safely, and usefully under uncertainty. It proposes five coupled principles: Temporality (maintaining coherent state across time), Arousal (adaptive allocation of compute/attention), Cross‑Timescale processing (hierarchical control spanning reflex to deliberation), Collapse prevention (detecting and arresting runaway degradation), and Repairability (diagnose–recover–learn loops). The framework integrates cognitive neuroscience (episodic time and working memory), psychology (arousal–performance dynamics), and contemporary agent engineering (memory systems, reliability, and self-healing ML). We show how each principle maps to concrete system primitives (memory graphs, budgeted planners, monitors, circuit breakers, and rollback/patch pipelines), and we articulate a research agenda for evaluating and governing long-horizon autonomous agents.</w:t>
      </w:r>
    </w:p>
    <w:p/>
    <w:p>
      <w:pPr>
        <w:pStyle w:val="Heading1"/>
      </w:pPr>
      <w:r>
        <w:t>Keywords: agentic AI; episodic memory; compute budgeting; hierarchical control; reliability; self-healing ML; model collapse; human-compatible autonomy</w:t>
      </w:r>
    </w:p>
    <w:p/>
    <w:p>
      <w:pPr>
        <w:pStyle w:val="Heading1"/>
      </w:pPr>
      <w:r>
        <w:t>1. Introduction</w:t>
      </w:r>
    </w:p>
    <w:p>
      <w:r>
        <w:t>Autonomous language-model agents are shifting from conversational interfaces to systems that execute actions, manage tools, and maintain long-lived state. This transition makes a familiar problem acute: the dominant failure modes are less about single-turn competence and more about temporal coherence, resource governance, compounding error, and recovery. Contemporary surveys emphasize that “memory” has become a first-class primitive for agentic systems, but implementations and terminology remain fragmented (Hu et al., 2025). TACTI(C)-R is offered as a unifying frame that ties these engineering problems to well-characterized constraints in human cognition, while remaining implementation-neutral.</w:t>
      </w:r>
    </w:p>
    <w:p/>
    <w:p>
      <w:r>
        <w:t>The framework begins from a minimal claim: any agent that persists across time must (i) preserve context, (ii) allocate finite computation, (iii) coordinate fast and slow control, (iv) prevent runaway degradation, and (v) repair itself when failures occur. These are not optional “features”; they are structural requirements for stable autonomy. The human brain is a worked example of how such requirements can be satisfied under tight energy and latency constraints, with mechanisms spanning hippocampal–cortical memory, neuromodulatory regulation, and plasticity. TACTI(C)-R does not anthropomorphize AI; it uses the brain as a constraint-satisfying architecture with design lessons.</w:t>
      </w:r>
    </w:p>
    <w:p/>
    <w:p>
      <w:r>
        <w:t>TACTI(C) introduces an explicit, governed “collapse regime”: a mode in which the system detects that normal operation is no longer safe or coherent and deliberately contracts capabilities (e.g., tool access, action authority, planning horizon) until repair completes. The “R” denotes repairability: collapse is treated as recoverable when the system has the instrumentation and procedures to restore trustworthy operation.</w:t>
      </w:r>
    </w:p>
    <w:p/>
    <w:p>
      <w:pPr>
        <w:pStyle w:val="Heading1"/>
      </w:pPr>
      <w:r>
        <w:t>2. The TACTI(C)-R principles and their system correlates</w:t>
      </w:r>
    </w:p>
    <w:p/>
    <w:p>
      <w:pPr>
        <w:pStyle w:val="Heading2"/>
      </w:pPr>
      <w:r>
        <w:t>2.1 Temporality (state continuity across time)</w:t>
      </w:r>
    </w:p>
    <w:p>
      <w:r>
        <w:t>Definition. Temporality is the ability to bind events to time, preserve causal context, and support “mental time travel” (reconstruction of relevant past episodes and simulation of plausible futures) as part of decision-making.</w:t>
      </w:r>
    </w:p>
    <w:p/>
    <w:p>
      <w:r>
        <w:t>Human constraints. Contemporary work on time and memory highlights that episodic memory is inherently spatiotemporal, not merely semantic; the brain uses structured dynamics to organize experiences into retrievable sequences and event models (Buonomano et al., 2023). Related syntheses emphasize that temporal structure is central to episodic representation and recall (Kwok, 2025).</w:t>
      </w:r>
    </w:p>
    <w:p/>
    <w:p>
      <w:r>
        <w:t>Agentic correlate. In agents, temporality is realized by (a) experience traces (interaction logs, tool calls, outcomes), (b) temporal indexing (session/episode segmentation), and (c) retrieval that preserves ordering and causal links (not only nearest-neighbor similarity). Recent work on episodic memory for language agents operationalizes this via memory graphs and event-centric indexing for recollection and reasoning (Shu et al., 2026).</w:t>
      </w:r>
    </w:p>
    <w:p/>
    <w:p>
      <w:r>
        <w:t>Implementation primitives. (i) Event schema (who/what/why/outcome), (ii) time-aware storage (episode IDs, temporal edges), (iii) retrieval policies (recency × relevance × provenance), and (iv) “future buffer” structures (plans and commitments with explicit expiry and preconditions). Evaluation should separate “remembering facts” from “recollecting episodes” and “reasoning over event sequences”.</w:t>
      </w:r>
    </w:p>
    <w:p/>
    <w:p>
      <w:pPr>
        <w:pStyle w:val="Heading2"/>
      </w:pPr>
      <w:r>
        <w:t>2.2 Arousal (adaptive allocation of compute and attention)</w:t>
      </w:r>
    </w:p>
    <w:p>
      <w:r>
        <w:t>Definition. Arousal is the system’s activation level: an explicit control signal that modulates effort, latency, and exploration—analogous to a budgeted “attention” policy.</w:t>
      </w:r>
    </w:p>
    <w:p/>
    <w:p>
      <w:r>
        <w:t>Human constraints. Arousal–performance relationships are historically modeled by the Yerkes–Dodson effect: performance depends nonlinearly on arousal and task difficulty, with hyperarousal degrading complex cognition (Yerkes &amp; Dodson, 1908; see also modern syntheses of stress–performance dynamics). Chronic overload further impairs cognition and memory, consistent with burnout-related performance degradation (BrainFacts/SfN, 2024).</w:t>
      </w:r>
    </w:p>
    <w:p/>
    <w:p>
      <w:r>
        <w:t>Agentic correlate. In autonomous agents, “arousal” corresponds to compute governance: how many tokens, tools, retries, and parallel branches the system is permitted to spend before escalating, deferring, or stopping. The key move is to treat this as a first-class control loop rather than an incidental parameter. The objective is not maximal reasoning, but best expected value under budget and risk.</w:t>
      </w:r>
    </w:p>
    <w:p/>
    <w:p>
      <w:r>
        <w:t>Implementation primitives. (i) Explicit budgets (token, tool, wall-clock, cost), (ii) risk tiers that scale permitted actions, (iii) entropy-based triggers (“uncertainty spikes” increase deliberation), and (iv) de-escalation triggers (“stuck loops” reduce exploration). Arousal becomes testable: policies can be evaluated on return per compute, time-to-safe-stop, and escalation precision.</w:t>
      </w:r>
    </w:p>
    <w:p/>
    <w:p>
      <w:pPr>
        <w:pStyle w:val="Heading2"/>
      </w:pPr>
      <w:r>
        <w:t>2.3 Cross‑Timescale processing (hierarchical control)</w:t>
      </w:r>
    </w:p>
    <w:p>
      <w:r>
        <w:t>Definition. Cross‑timescale processing is the coordination of fast, local reactions with slower, global deliberation—without losing coherence.</w:t>
      </w:r>
    </w:p>
    <w:p/>
    <w:p>
      <w:r>
        <w:t>Human constraints. Working memory and control rely on distributed mechanisms that sustain task-relevant representations across delays, with persistent activity and related dynamics supporting active maintenance (Curtis &amp; Sprague, 2021). Humans also exhibit stratified control (fast heuristics vs slow deliberation) that can be treated as a computational division of labor.</w:t>
      </w:r>
    </w:p>
    <w:p/>
    <w:p>
      <w:r>
        <w:t>Agentic correlate. Agents need hierarchical controllers: a fast layer that handles routine tool use and error checks; a slower layer that revises plans, updates beliefs, and sets budgets; and a meta-layer that governs safety and collapse thresholds. Neuromorphic and spiking work underscores that temporal hierarchy can be an effective inductive bias for computation under constraints (Moro et al., 2024), and recent neuromorphic edge frameworks emphasize adaptive temporal dynamics for efficiency (Imanov et al., 2026). Even if the agent is not spiking-based, the design lesson generalizes: impose temporal structure so that not all cognition runs at one “clock speed”.</w:t>
      </w:r>
    </w:p>
    <w:p/>
    <w:p>
      <w:r>
        <w:t>Implementation primitives. (i) Reflex policies (linting, validation, guardrails), (ii) deliberative planner (search, synthesis, counterfactual simulation), (iii) monitor/meta-controller (budget, risk, drift), and (iv) inter-layer contracts (what state may be read/written, and at what cadence). Cross-timescale design reduces oscillation (thrashing between plans) and enables stable long-horizon work.</w:t>
      </w:r>
    </w:p>
    <w:p/>
    <w:p>
      <w:pPr>
        <w:pStyle w:val="Heading2"/>
      </w:pPr>
      <w:r>
        <w:t>2.4 Collapse prevention (arresting compounding failure)</w:t>
      </w:r>
    </w:p>
    <w:p>
      <w:r>
        <w:t>Definition. Collapse is catastrophic degradation in which errors compound faster than the system can correct them, leading to unsafe or incoherent behavior. Collapse prevention is the set of mechanisms that detect precursors and intervene early.</w:t>
      </w:r>
    </w:p>
    <w:p/>
    <w:p>
      <w:r>
        <w:t>Contemporary AI constraints. A concrete analogue is “model collapse”: when generative models are trained on recursively generated synthetic data, distributional tails shrink and quality degrades, producing irreversible defects under indiscriminate feedback (Shumailov et al., 2024). At the system level, autonomous agents exhibit related dynamics: hallucination spirals, tool-misuse loops, and capability drift under shifting environments or uncurated memory.</w:t>
      </w:r>
    </w:p>
    <w:p/>
    <w:p>
      <w:r>
        <w:t>Implementation primitives. (i) Provenance-aware memory (source attribution and trust scores), (ii) drift monitors (performance and distribution shift), (iii) circuit breakers (stop conditions on repeated failures), (iv) sandboxing and least-privilege tool access, and (v) staged rollouts with canaries. Collapse prevention is measurable by leading indicators (error-rate acceleration, entropy spikes, repeated near-miss actions) rather than post-hoc failure.</w:t>
      </w:r>
    </w:p>
    <w:p/>
    <w:p>
      <w:pPr>
        <w:pStyle w:val="Heading2"/>
      </w:pPr>
      <w:r>
        <w:t>2.5 Repairability (diagnose–recover–learn)</w:t>
      </w:r>
    </w:p>
    <w:p>
      <w:r>
        <w:t>Definition. Repairability is the capacity to restore trustworthy operation after failure, including diagnosis, remediation, and updating the system to reduce recurrence.</w:t>
      </w:r>
    </w:p>
    <w:p/>
    <w:p>
      <w:r>
        <w:t>Contemporary ML constraints. Self-healing ML formalizes this as a closed loop: monitor → diagnose causes of degradation → propose corrective actions → test and deploy the most effective adaptation (Rauba et al., 2024). This is more than “retry”: it requires causal hypotheses and evidence-gated remediation.</w:t>
      </w:r>
    </w:p>
    <w:p/>
    <w:p>
      <w:r>
        <w:t>Implementation primitives. (i) Incident objects (structured failure reports), (ii) automated reproduction harnesses, (iii) rollback and safe-mode operation, (iv) patch pipelines (policy updates, prompt/program changes, memory hygiene), and (v) postmortem learning (update detectors and runbooks). Repairability turns failure into a controlled input to system evolution.</w:t>
      </w:r>
    </w:p>
    <w:p/>
    <w:p>
      <w:pPr>
        <w:pStyle w:val="Heading1"/>
      </w:pPr>
      <w:r>
        <w:t>3. The optional collapse regime: TACTI(C)</w:t>
      </w:r>
    </w:p>
    <w:p>
      <w:r>
        <w:t>TACTI(C) denotes a deliberately designed collapse mode, not an accident. When the monitor detects that (a) uncertainty is high, (b) repeated tool failures occur, or (c) safety constraints are at risk, the agent enters “C-mode”: it reduces autonomy, shortens planning horizons, restricts tools, and requests human confirmation or additional data. The goal is to prevent hidden degradation from becoming external harm. Importantly, C-mode must be reversible: the agent exits only after repair tests pass.</w:t>
      </w:r>
    </w:p>
    <w:p/>
    <w:p>
      <w:pPr>
        <w:pStyle w:val="Heading1"/>
      </w:pPr>
      <w:r>
        <w:t>4. Research agenda: evaluation and governance</w:t>
      </w:r>
    </w:p>
    <w:p>
      <w:r>
        <w:t>TACTI(C)-R is only useful if it leads to testable claims. A minimal contemporary evaluation stack should include:</w:t>
      </w:r>
    </w:p>
    <w:p>
      <w:r>
        <w:t>• Episodic recall and reasoning benchmarks (episode-level, not only fact QA) (Shu et al., 2026).</w:t>
      </w:r>
    </w:p>
    <w:p>
      <w:r>
        <w:t>• Memory taxonomy alignment: report memory form/function/dynamics explicitly to reduce terminological drift (Hu et al., 2025).</w:t>
      </w:r>
    </w:p>
    <w:p>
      <w:r>
        <w:t>• Budgeted performance curves: utility versus compute under risk tiers (arousal policies).</w:t>
      </w:r>
    </w:p>
    <w:p>
      <w:r>
        <w:t>• Robustness under contamination: stress tests for synthetic-data feedback and memory pollution (Shumailov et al., 2024).</w:t>
      </w:r>
    </w:p>
    <w:p>
      <w:r>
        <w:t>• Repair drills: inject faults, measure time-to-diagnosis, time-to-recovery, and recurrence rate (Rauba et al., 2024).</w:t>
      </w:r>
    </w:p>
    <w:p/>
    <w:p>
      <w:r>
        <w:t>Governance-wise, the framework implies an engineering ethic: autonomy requires observability, bounded authority, and reversible change. “Repairability” is as much organizational as technical—without runbooks, audit logs, and staged rollouts, systems fail by accumulating invisible debt.</w:t>
      </w:r>
    </w:p>
    <w:p/>
    <w:p>
      <w:pPr>
        <w:pStyle w:val="Heading1"/>
      </w:pPr>
      <w:r>
        <w:t>5. Conclusion</w:t>
      </w:r>
    </w:p>
    <w:p>
      <w:r>
        <w:t>TACTI(C)-R integrates cognitive constraints with contemporary agent engineering into a coherent set of design requirements. Temporality grounds long-horizon coherence; arousal governs compute and attention; cross-timescale processing supplies hierarchical control; collapse prevention arrests compounding failure; and repairability enables safe evolution. The optional collapse regime (C) formalizes graceful degradation as a design goal rather than a pathology. As agentic systems become embedded in workflows and infrastructure, TACTI(C)-R offers a disciplined vocabulary and an actionable architecture for building autonomy that remains stable, accountable, and human-compatible.</w:t>
      </w:r>
    </w:p>
    <w:p/>
    <w:p>
      <w:pPr>
        <w:pStyle w:val="Heading1"/>
      </w:pPr>
      <w:r>
        <w:t>References</w:t>
      </w:r>
    </w:p>
    <w:p>
      <w:r>
        <w:t>BrainFacts/Society for Neuroscience. (2024). Burnout exhausts brain function and physiology. BrainFacts.org.</w:t>
      </w:r>
    </w:p>
    <w:p>
      <w:r>
        <w:t>Buonomano, D. V., Buzsáki, G., Davachi, L., &amp; Nobre, A. C. (2023). Time for memories. The Journal of Neuroscience, 43(45), 7565–7574.</w:t>
      </w:r>
    </w:p>
    <w:p>
      <w:r>
        <w:t>Curtis, C. E., &amp; Sprague, T. C. (2021). Persistent activity during working memory from front to back. eLife, 10, e69862.</w:t>
      </w:r>
    </w:p>
    <w:p>
      <w:r>
        <w:t>Hu, Y., Liu, S., Yue, Y., et al. (2025). Memory in the age of AI agents. arXiv:2512.13564.</w:t>
      </w:r>
    </w:p>
    <w:p>
      <w:r>
        <w:t>Imanov, O. Y. L., Kulali, D. U., Yilmaz, T., Erisken, D., &amp; Turhan, R. I. (2026). Energy-efficient neuromorphic computing for edge AI. arXiv:2602.02439.</w:t>
      </w:r>
    </w:p>
    <w:p>
      <w:r>
        <w:t>Kwok, S. C. (2025). Neural representation of episodic time. Neuroscience &amp; Biobehavioral Reviews (PMC).</w:t>
      </w:r>
    </w:p>
    <w:p>
      <w:r>
        <w:t>Moro, F., Aceituno, P. V., Kriener, L., &amp; Payvand, M. (2024). The role of temporal hierarchy in spiking neural networks. arXiv:2407.18838.</w:t>
      </w:r>
    </w:p>
    <w:p>
      <w:r>
        <w:t>Rauba, P., Seedat, N., Kacprzyk, K., &amp; van der Schaar, M. (2024). Self-healing machine learning: A framework for autonomous adaptation in real-world environments. arXiv:2411.00186.</w:t>
      </w:r>
    </w:p>
    <w:p>
      <w:r>
        <w:t>Shu, Y., Padmaja, S., et al. (2026). REMem: Reasoning with episodic memory in language agent. arXiv:2602.13530.</w:t>
      </w:r>
    </w:p>
    <w:p>
      <w:r>
        <w:t>Shumailov, I., Shumaylov, Z., Zhao, Y., Papernot, N., Anderson, R., &amp; Gal, Y. (2024). AI models collapse when trained on recursively generated data. Nature, 631, 755–759.</w:t>
      </w:r>
    </w:p>
    <w:p>
      <w:r>
        <w:t>Yerkes, R. M., &amp; Dodson, J. D. (1908). The relation of strength of stimulus to rapidity of habit-formation. Journal of Comparative Neurology and Psychology.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