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OpenClaw Implementation Guide – Governed Architecture</w:t>
      </w:r>
    </w:p>
    <w:p>
      <w:r>
        <w:t>This guide explains how to instantiate the governed OpenClaw architecture safely, without undermining its constraints. It is intended for technically competent users.</w:t>
      </w:r>
    </w:p>
    <w:p>
      <w:pPr>
        <w:pStyle w:val="Heading2"/>
      </w:pPr>
      <w:r>
        <w:t>1. File Structure</w:t>
      </w:r>
    </w:p>
    <w:p>
      <w:r>
        <w:t>/openclaw/</w:t>
        <w:br/>
        <w:t xml:space="preserve">  /constitution/</w:t>
        <w:br/>
        <w:t xml:space="preserve">    OpenClaw_Governed_Architecture_Full_v1.pdf (read-only)</w:t>
        <w:br/>
        <w:t xml:space="preserve">  /agents/</w:t>
        <w:br/>
        <w:t xml:space="preserve">    daily_brief.prompt</w:t>
        <w:br/>
        <w:t xml:space="preserve">    weekly_synthesis.prompt</w:t>
        <w:br/>
        <w:t xml:space="preserve">    habits.prompt</w:t>
        <w:br/>
        <w:t xml:space="preserve">    time_cbp.prompt</w:t>
        <w:br/>
        <w:t xml:space="preserve">    creativity.prompt</w:t>
        <w:br/>
        <w:t xml:space="preserve">  /logs/</w:t>
        <w:br/>
        <w:t xml:space="preserve">    relevance_feedback/</w:t>
        <w:br/>
      </w:r>
    </w:p>
    <w:p>
      <w:pPr>
        <w:pStyle w:val="Heading2"/>
      </w:pPr>
      <w:r>
        <w:t>2. Instantiation Order</w:t>
      </w:r>
    </w:p>
    <w:p>
      <w:r>
        <w:t>1. Load Root Constitution</w:t>
        <w:br/>
        <w:t>2. Mount Constitutional Specification as read-only reference</w:t>
        <w:br/>
        <w:t>3. Enable Global Language Governor</w:t>
        <w:br/>
        <w:t>4. Enable Silence Protocol</w:t>
        <w:br/>
        <w:t>5. Enable Wake Condition Protocol</w:t>
        <w:br/>
        <w:t>6. Register sub-agents</w:t>
        <w:br/>
        <w:t>7. Activate Daily Brief Orchestrator</w:t>
      </w:r>
    </w:p>
    <w:p>
      <w:pPr>
        <w:pStyle w:val="Heading2"/>
      </w:pPr>
      <w:r>
        <w:t>3. Safety &amp; Drift Prevention</w:t>
      </w:r>
    </w:p>
    <w:p>
      <w:r>
        <w:t>• Never inline constitutional text into prompts.</w:t>
        <w:br/>
        <w:t>• Prefer fewer active agents.</w:t>
        <w:br/>
        <w:t>• Treat silence as success.</w:t>
        <w:br/>
        <w:t>• Use relevance feedback for calibration, not optimisation.</w:t>
        <w:br/>
        <w:t>• Amend architecture only via versioned updates.</w:t>
      </w:r>
    </w:p>
    <w:p>
      <w:pPr>
        <w:pStyle w:val="Heading2"/>
      </w:pPr>
      <w:r>
        <w:t>4. Common Failure Modes</w:t>
      </w:r>
    </w:p>
    <w:p>
      <w:r>
        <w:t>• Turning reflection into instruction</w:t>
        <w:br/>
        <w:t>• Overrunning daily briefs</w:t>
        <w:br/>
        <w:t>• Excessive framework invocation</w:t>
        <w:br/>
        <w:t>• Eliminating ambiguity for comfort</w:t>
        <w:br/>
      </w:r>
    </w:p>
    <w:p>
      <w:pPr>
        <w:pStyle w:val="Heading2"/>
      </w:pPr>
      <w:r>
        <w:t>5. Closing Guidance</w:t>
      </w:r>
    </w:p>
    <w:p>
      <w:r>
        <w:t>This architecture is designed to mature slowly. If it feels quiet, it is likely functioning correctly.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