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pos="720" w:val="left"/>
          <w:tab w:pos="1152" w:val="left"/>
        </w:tabs>
        <w:spacing w:before="0" w:after="0"/>
      </w:pPr>
      <w:r>
        <w:rPr>
          <w:b/>
          <w:u w:val="single"/>
        </w:rPr>
        <w:t>Automate Customer's Single Swing Gate:</w:t>
      </w:r>
    </w:p>
    <w:p>
      <w:pPr>
        <w:tabs>
          <w:tab w:pos="720" w:val="left"/>
          <w:tab w:pos="1152" w:val="left"/>
        </w:tabs>
      </w:pPr>
      <w:r>
        <w:t>Install:</w:t>
        <w:tab/>
      </w:r>
      <w:r>
        <w:t>1)</w:t>
        <w:tab/>
      </w:r>
      <w:r>
        <w:t>LiftMaster Elite high cycle swing gate opener, Model CSW-24UL, ½ HP, 115 volt with dual gearbox drive, manual release, and E.R.D. sensor. Includes built-in battery backup for operation during power failure</w:t>
      </w:r>
    </w:p>
    <w:p>
      <w:pPr>
        <w:pStyle w:val="ListBullet"/>
        <w:spacing w:before="0" w:after="0"/>
      </w:pPr>
      <w:r>
        <w:t>On existing pad.</w:t>
      </w:r>
    </w:p>
    <w:p>
      <w:pPr>
        <w:pStyle w:val="ListBullet"/>
        <w:spacing w:before="0" w:after="0"/>
      </w:pPr>
      <w:r>
        <w:t xml:space="preserve">Client to </w:t>
      </w:r>
    </w:p>
    <w:p>
      <w:pPr>
        <w:tabs>
          <w:tab w:pos="720" w:val="left"/>
          <w:tab w:pos="1152" w:val="left"/>
        </w:tabs>
        <w:spacing w:before="0" w:after="0"/>
      </w:pPr>
      <w:r>
        <w:tab/>
      </w:r>
      <w:r>
        <w:t>1)</w:t>
        <w:tab/>
      </w:r>
      <w:r>
        <w:t>Concrete mounting pad for opener</w:t>
      </w:r>
    </w:p>
    <w:p>
      <w:pPr>
        <w:tabs>
          <w:tab w:pos="720" w:val="left"/>
          <w:tab w:pos="1152" w:val="left"/>
        </w:tabs>
        <w:spacing w:before="0" w:after="0"/>
      </w:pPr>
      <w:r>
        <w:tab/>
      </w:r>
      <w:r>
        <w:t>1)</w:t>
        <w:tab/>
      </w:r>
      <w:r>
        <w:t>Internal receiver with coaxial antennae</w:t>
      </w:r>
    </w:p>
    <w:p>
      <w:pPr>
        <w:tabs>
          <w:tab w:pos="720" w:val="left"/>
          <w:tab w:pos="1152" w:val="left"/>
        </w:tabs>
        <w:spacing w:before="0" w:after="0"/>
      </w:pPr>
      <w:r>
        <w:tab/>
      </w:r>
      <w:r>
        <w:t>2)</w:t>
        <w:tab/>
      </w:r>
      <w:r>
        <w:t>Gate edge contact sensors with wireless remotes – Required by UL 325 code</w:t>
      </w:r>
    </w:p>
    <w:p>
      <w:pPr>
        <w:tabs>
          <w:tab w:pos="720" w:val="left"/>
          <w:tab w:pos="1152" w:val="left"/>
        </w:tabs>
        <w:spacing w:before="0" w:after="0"/>
      </w:pPr>
      <w:r>
        <w:t>Other:</w:t>
        <w:tab/>
      </w:r>
      <w:r>
        <w:t xml:space="preserve"> -</w:t>
        <w:tab/>
      </w:r>
      <w:r>
        <w:t>Provide electrical permit and schedule inspection with local municipalities.</w:t>
      </w:r>
    </w:p>
    <w:p>
      <w:pPr>
        <w:tabs>
          <w:tab w:pos="720" w:val="left"/>
          <w:tab w:pos="1152" w:val="left"/>
        </w:tabs>
        <w:spacing w:before="0" w:after="0"/>
      </w:pPr>
      <w:r>
        <w:t>Supply:</w:t>
        <w:tab/>
      </w:r>
      <w:r>
        <w:t xml:space="preserve"> -</w:t>
        <w:tab/>
      </w:r>
      <w:r>
        <w:t>One year labor warranty</w:t>
      </w:r>
    </w:p>
    <w:p>
      <w:pPr>
        <w:tabs>
          <w:tab w:pos="720" w:val="left"/>
          <w:tab w:pos="1152" w:val="left"/>
        </w:tabs>
        <w:spacing w:before="0" w:after="0"/>
      </w:pPr>
      <w:r>
        <w:tab/>
      </w:r>
      <w:r>
        <w:t>1)</w:t>
        <w:tab/>
      </w:r>
      <w:r>
        <w:t>Set of digital O&amp;M manuals</w:t>
      </w:r>
    </w:p>
    <w:p>
      <w:r>
        <w:rPr>
          <w:b/>
          <w:u w:val="single"/>
        </w:rPr>
        <w:t>Warranties:</w:t>
      </w:r>
    </w:p>
    <w:p>
      <w:pPr>
        <w:pStyle w:val="ListBullet"/>
      </w:pPr>
      <w:r>
        <w:t>LiftMaster Elite series opener – years parts, no warranty on battery.</w:t>
      </w:r>
    </w:p>
    <w:p>
      <w:pPr>
        <w:pStyle w:val="ListBullet"/>
      </w:pPr>
      <w:r>
        <w:t>All other parts and labor – 1 year</w:t>
      </w:r>
    </w:p>
    <w:p>
      <w:r>
        <w:rPr>
          <w:b/>
          <w:u w:val="single"/>
        </w:rPr>
        <w:t>Exclusions:</w:t>
      </w:r>
    </w:p>
    <w:p>
      <w:pPr>
        <w:pStyle w:val="ListBullet"/>
      </w:pPr>
      <w:r>
        <w:t>Patching, painting, database programming</w:t>
      </w:r>
    </w:p>
    <w:p>
      <w:pPr>
        <w:pStyle w:val="ListBullet"/>
      </w:pPr>
      <w:r>
        <w:t>Excludes any potential correction of code violations that may currently exist</w:t>
      </w:r>
    </w:p>
    <w:p>
      <w:r>
        <w:rPr>
          <w:b/>
          <w:u w:val="single"/>
        </w:rPr>
        <w:t>Notes:</w:t>
      </w:r>
    </w:p>
    <w:p>
      <w:pPr>
        <w:pStyle w:val="ListBullet"/>
      </w:pPr>
      <w:r>
        <w:t>Due to current supply chain limitations, shipping and manufacturing times are unknown and will need to be verified upon approval of project.</w:t>
      </w:r>
    </w:p>
    <w:p>
      <w:pPr>
        <w:pStyle w:val="ListBullet"/>
      </w:pPr>
      <w:r>
        <w:t>Contractor/Owner shall provide a schedule or completion date, and a reasonable amount of time to complete the work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