
<file path=[Content_Types].xml><?xml version="1.0" encoding="utf-8"?>
<Types xmlns="http://schemas.openxmlformats.org/package/2006/content-types">
  <Default ContentType="image/x-eps" Extension="eps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/>
    </w:p>
    <w:p>
      <w:pPr>
        <w:jc w:val="left"/>
      </w:pPr>
      <w:r/>
      <w:r>
        <w:rPr>
          <w:rFonts w:ascii="Arial" w:hAnsi="Arial" w:cs="Arial" w:eastAsia="Arial"/>
          <w:b w:val="true"/>
          <w:color w:val="000000"/>
          <w:sz w:val="28"/>
        </w:rPr>
        <w:t/>
        <w:cr/>
        <w:t>T-Test</w:t>
        <w:cr/>
      </w:r>
    </w:p>
    <w:p>
      <w:r/>
    </w:p>
    <w:tbl>
      <w:tblPr>
        <w:tblW w:w="0" w:type="auto"/>
        <w:jc w:val="left"/>
        <w:tblLayout w:type="fixed"/>
      </w:tblPr>
      <w:tblGrid>
        <w:gridCol w:w="2499"/>
        <w:gridCol w:w="2788"/>
        <w:gridCol w:w="2754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Notes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Output Created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03-JAN-2023 14:43:36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Comments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010205"/>
                <w:sz w:val="24"/>
              </w:rPr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Input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Data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010205"/>
                <w:sz w:val="24"/>
              </w:rPr>
              <w:t>/Users/jensykes/Documents/PhDStats/CorrectQualitativeStats.sav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Active Dataset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010205"/>
                <w:sz w:val="24"/>
              </w:rPr>
              <w:t>DataSet1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Filter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010205"/>
                <w:sz w:val="24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Weight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010205"/>
                <w:sz w:val="24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Split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010205"/>
                <w:sz w:val="24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N of Rows in Working Data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Missing Value Handling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Definition of Missing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010205"/>
                <w:sz w:val="24"/>
              </w:rPr>
              <w:t>User defined missing values are treated as missing.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Cases Used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010205"/>
                <w:sz w:val="24"/>
              </w:rPr>
              <w:t>Statistics for each analysis are based on the cases with no missing or out-of-range data for any variable in the analysis.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Syntax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010205"/>
                <w:sz w:val="24"/>
              </w:rPr>
              <w:t>T-TEST PAIRS=Q17 WITH Q18 (PAIRED)</w:t>
              <w:br/>
              <w:t>/ES DISPLAY(TRUE) STANDARDIZER(SD)</w:t>
              <w:br/>
              <w:t>/CRITERIA=CI(.9500)</w:t>
              <w:br/>
              <w:t>/MISSING=ANALYSIS.</w:t>
              <w:br/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Resources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Processor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00:00:00.01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Elapsed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00:00:00.00</w:t>
            </w:r>
          </w:p>
        </w:tc>
      </w:tr>
    </w:tbl>
    <w:p>
      <w:r/>
    </w:p>
    <w:tbl>
      <w:tblPr>
        <w:tblW w:w="0" w:type="auto"/>
        <w:jc w:val="left"/>
        <w:tblLayout w:type="fixed"/>
      </w:tblPr>
      <w:tblGrid>
        <w:gridCol w:w="833"/>
        <w:gridCol w:w="833"/>
        <w:gridCol w:w="1156"/>
        <w:gridCol w:w="1156"/>
        <w:gridCol w:w="1581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Paired Samples Statistics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Mean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N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Std. Deviation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Std. Error Mean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Pair 1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Q17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2.77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1.013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.281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Q18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3.54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1.050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.291</w:t>
            </w:r>
          </w:p>
        </w:tc>
      </w:tr>
    </w:tbl>
    <w:p>
      <w:r/>
    </w:p>
    <w:tbl>
      <w:tblPr>
        <w:tblW w:w="0" w:type="auto"/>
        <w:jc w:val="left"/>
        <w:tblLayout w:type="fixed"/>
      </w:tblPr>
      <w:tblGrid>
        <w:gridCol w:w="833"/>
        <w:gridCol w:w="1360"/>
        <w:gridCol w:w="1156"/>
        <w:gridCol w:w="1309"/>
        <w:gridCol w:w="1496"/>
        <w:gridCol w:w="1513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Paired Samples Correlations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Merge w:val="restart"/>
            <w:tcBorders>
              <w:top w:val="none" w:sz="1" w:color="152935"/>
              <w:left w:val="none" w:sz="1" w:color="152935"/>
            </w:tcBorders>
            <w:vAlign w:val="bottom"/>
          </w:tcPr>
          <w:tcPr>
            <w:hMerge w:val="restart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vMerge w:val="restart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N</w:t>
            </w:r>
          </w:p>
        </w:tc>
        <w:tc>
          <w:tcPr>
            <w:v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Correlation</w:t>
            </w:r>
          </w:p>
        </w:tc>
        <w:tc>
          <w:tcPr>
            <w:h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Significance</w:t>
            </w:r>
          </w:p>
        </w:tc>
        <w:tc>
          <w:tcPr>
            <w:h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</w:tr>
      <w:tr>
        <w:tc>
          <w:tcPr>
            <w:vMerge w:val="continue"/>
            <w:tcBorders>
              <w:top w:val="none" w:sz="1" w:color="152935"/>
              <w:left w:val="none" w:sz="1" w:color="152935"/>
            </w:tcBorders>
          </w:tcPr>
          <w:tcPr>
            <w:hMerge w:val="restart"/>
          </w:tcPr>
          <w:p/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v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</w:tcPr>
          <w:p/>
        </w:tc>
        <w:tc>
          <w:tcPr>
            <w:v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</w:tcPr>
          <w:p/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One-Sided p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Two-Sided p</w:t>
            </w:r>
          </w:p>
        </w:tc>
      </w:tr>
      <w:tr>
        <w:tc>
          <w:tcPr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Pair 1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Q17 &amp; Q18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.362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.112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.225</w:t>
            </w:r>
          </w:p>
        </w:tc>
      </w:tr>
    </w:tbl>
    <w:p>
      <w:r/>
    </w:p>
    <w:tbl>
      <w:tblPr>
        <w:tblW w:w="0" w:type="auto"/>
        <w:jc w:val="left"/>
        <w:tblLayout w:type="fixed"/>
      </w:tblPr>
      <w:tblGrid>
        <w:gridCol w:w="833"/>
        <w:gridCol w:w="1343"/>
        <w:gridCol w:w="1156"/>
        <w:gridCol w:w="1581"/>
        <w:gridCol w:w="1666"/>
        <w:gridCol w:w="1666"/>
        <w:gridCol w:w="1666"/>
        <w:gridCol w:w="1156"/>
        <w:gridCol w:w="115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Paired Samples Test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Merge w:val="restart"/>
            <w:tcBorders>
              <w:top w:val="none" w:sz="1" w:color="152935"/>
              <w:left w:val="none" w:sz="1" w:color="152935"/>
            </w:tcBorders>
            <w:vAlign w:val="bottom"/>
          </w:tcPr>
          <w:tcPr>
            <w:hMerge w:val="restart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hMerge w:val="restart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Paired Differences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</w:tcPr>
          <w:p/>
        </w:tc>
        <w:tc>
          <w:tcPr>
            <w:h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</w:tcPr>
          <w:p/>
        </w:tc>
        <w:tc>
          <w:tcPr>
            <w:h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</w:tcPr>
          <w:p/>
        </w:tc>
        <w:tc>
          <w:tcPr>
            <w:h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</w:tcPr>
          <w:p/>
        </w:tc>
        <w:tc>
          <w:tcPr>
            <w:v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t</w:t>
            </w:r>
          </w:p>
        </w:tc>
        <w:tc>
          <w:tcPr>
            <w:v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df</w:t>
            </w:r>
          </w:p>
        </w:tc>
      </w:tr>
      <w:tr>
        <w:tc>
          <w:tcPr>
            <w:vMerge w:val="continue"/>
            <w:tcBorders>
              <w:top w:val="none" w:sz="1" w:color="152935"/>
              <w:left w:val="none" w:sz="1" w:color="152935"/>
            </w:tcBorders>
          </w:tcPr>
          <w:tcPr>
            <w:hMerge w:val="restart"/>
          </w:tcPr>
          <w:p/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vMerge w:val="restart"/>
            <w:tcBorders>
              <w:top w:val="none" w:sz="1" w:color="aeaeae"/>
              <w:left w:val="none" w:sz="1" w:color="152935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Mean</w:t>
            </w:r>
          </w:p>
        </w:tc>
        <w:tc>
          <w:tcPr>
            <w:vMerge w:val="restart"/>
            <w:tcBorders>
              <w:top w:val="none" w:sz="1" w:color="aeaeae"/>
              <w:left w:val="single" w:sz="1" w:color="e0e0e0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Std. Deviation</w:t>
            </w:r>
          </w:p>
        </w:tc>
        <w:tc>
          <w:tcPr>
            <w:vMerge w:val="restart"/>
            <w:tcBorders>
              <w:top w:val="none" w:sz="1" w:color="aeaeae"/>
              <w:left w:val="single" w:sz="1" w:color="e0e0e0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Std. Error Mean</w:t>
            </w:r>
          </w:p>
        </w:tc>
        <w:tc>
          <w:tcPr>
            <w:hMerge w:val="restart"/>
            <w:tcBorders>
              <w:top w:val="none" w:sz="1" w:color="aeaeae"/>
              <w:left w:val="single" w:sz="1" w:color="e0e0e0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95% Confidence Interval of the Difference</w:t>
            </w:r>
          </w:p>
        </w:tc>
        <w:tc>
          <w:tcPr>
            <w:hMerge w:val="continue"/>
            <w:tcBorders>
              <w:top w:val="none" w:sz="1" w:color="aeaeae"/>
              <w:left w:val="single" w:sz="1" w:color="e0e0e0"/>
              <w:bottom w:val="none" w:sz="1" w:color="aeaeae"/>
              <w:right w:val="single" w:sz="1" w:color="e0e0e0"/>
            </w:tcBorders>
          </w:tcPr>
          <w:p/>
        </w:tc>
        <w:tc>
          <w:tcPr>
            <w:v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</w:tcPr>
          <w:p/>
        </w:tc>
        <w:tc>
          <w:tcPr>
            <w:v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</w:tr>
      <w:tr>
        <w:tc>
          <w:tcPr>
            <w:vMerge w:val="continue"/>
            <w:tcBorders>
              <w:top w:val="none" w:sz="1" w:color="152935"/>
              <w:left w:val="none" w:sz="1" w:color="152935"/>
            </w:tcBorders>
          </w:tcPr>
          <w:tcPr>
            <w:hMerge w:val="restart"/>
          </w:tcPr>
          <w:p/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vMerge w:val="continue"/>
            <w:tcBorders>
              <w:top w:val="none" w:sz="1" w:color="aeaeae"/>
              <w:left w:val="none" w:sz="1" w:color="152935"/>
              <w:bottom w:val="none" w:sz="1" w:color="aeaeae"/>
              <w:right w:val="single" w:sz="1" w:color="e0e0e0"/>
            </w:tcBorders>
          </w:tcPr>
          <w:p/>
        </w:tc>
        <w:tc>
          <w:tcPr>
            <w:vMerge w:val="continue"/>
            <w:tcBorders>
              <w:top w:val="none" w:sz="1" w:color="aeaeae"/>
              <w:left w:val="single" w:sz="1" w:color="e0e0e0"/>
              <w:bottom w:val="none" w:sz="1" w:color="aeaeae"/>
              <w:right w:val="single" w:sz="1" w:color="e0e0e0"/>
            </w:tcBorders>
          </w:tcPr>
          <w:p/>
        </w:tc>
        <w:tc>
          <w:tcPr>
            <w:vMerge w:val="continue"/>
            <w:tcBorders>
              <w:top w:val="none" w:sz="1" w:color="aeaeae"/>
              <w:left w:val="single" w:sz="1" w:color="e0e0e0"/>
              <w:bottom w:val="none" w:sz="1" w:color="aeaeae"/>
              <w:right w:val="single" w:sz="1" w:color="e0e0e0"/>
            </w:tcBorders>
          </w:tcPr>
          <w:p/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Lower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Upper</w:t>
            </w:r>
          </w:p>
        </w:tc>
        <w:tc>
          <w:tcPr>
            <w:v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</w:tcPr>
          <w:p/>
        </w:tc>
        <w:tc>
          <w:tcPr>
            <w:v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</w:tr>
      <w:tr>
        <w:tc>
          <w:tcPr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Pair 1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Q17 - Q18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-.769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1.166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.323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-1.474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-.065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-2.379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12</w:t>
            </w:r>
          </w:p>
        </w:tc>
      </w:tr>
    </w:tbl>
    <w:p>
      <w:r/>
    </w:p>
    <w:tbl>
      <w:tblPr>
        <w:tblW w:w="0" w:type="auto"/>
        <w:jc w:val="left"/>
        <w:tblLayout w:type="fixed"/>
      </w:tblPr>
      <w:tblGrid>
        <w:gridCol w:w="833"/>
        <w:gridCol w:w="1343"/>
        <w:gridCol w:w="1496"/>
        <w:gridCol w:w="1513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Paired Samples Test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Merge w:val="restart"/>
            <w:tcBorders>
              <w:top w:val="none" w:sz="1" w:color="152935"/>
              <w:left w:val="none" w:sz="1" w:color="152935"/>
            </w:tcBorders>
            <w:vAlign w:val="bottom"/>
          </w:tcPr>
          <w:tcPr>
            <w:hMerge w:val="restart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hMerge w:val="restart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Significance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</w:tr>
      <w:tr>
        <w:tc>
          <w:tcPr>
            <w:vMerge w:val="continue"/>
            <w:tcBorders>
              <w:top w:val="none" w:sz="1" w:color="152935"/>
              <w:left w:val="none" w:sz="1" w:color="152935"/>
            </w:tcBorders>
          </w:tcPr>
          <w:tcPr>
            <w:hMerge w:val="restart"/>
          </w:tcPr>
          <w:p/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vMerge w:val="restart"/>
            <w:tcBorders>
              <w:top w:val="none" w:sz="1" w:color="aeaeae"/>
              <w:left w:val="none" w:sz="1" w:color="152935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One-Sided p</w:t>
            </w:r>
          </w:p>
        </w:tc>
        <w:tc>
          <w:tcPr>
            <w:vMerge w:val="restart"/>
            <w:tcBorders>
              <w:top w:val="none" w:sz="1" w:color="aeaeae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Two-Sided p</w:t>
            </w:r>
          </w:p>
        </w:tc>
      </w:tr>
      <w:tr>
        <w:tc>
          <w:tcPr>
            <w:vMerge w:val="continue"/>
            <w:tcBorders>
              <w:top w:val="none" w:sz="1" w:color="152935"/>
              <w:left w:val="none" w:sz="1" w:color="152935"/>
            </w:tcBorders>
          </w:tcPr>
          <w:tcPr>
            <w:hMerge w:val="restart"/>
          </w:tcPr>
          <w:p/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vMerge w:val="continue"/>
            <w:tcBorders>
              <w:top w:val="none" w:sz="1" w:color="aeaeae"/>
              <w:left w:val="none" w:sz="1" w:color="152935"/>
              <w:bottom w:val="none" w:sz="1" w:color="aeaeae"/>
              <w:right w:val="single" w:sz="1" w:color="e0e0e0"/>
            </w:tcBorders>
          </w:tcPr>
          <w:p/>
        </w:tc>
        <w:tc>
          <w:tcPr>
            <w:vMerge w:val="continue"/>
            <w:tcBorders>
              <w:top w:val="none" w:sz="1" w:color="aeaeae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</w:tr>
      <w:tr>
        <w:tc>
          <w:tcPr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Pair 1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Q17 - Q18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.017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.035</w:t>
            </w:r>
          </w:p>
        </w:tc>
      </w:tr>
    </w:tbl>
    <w:p>
      <w:r/>
    </w:p>
    <w:tbl>
      <w:tblPr>
        <w:tblW w:w="0" w:type="auto"/>
        <w:jc w:val="left"/>
        <w:tblLayout w:type="fixed"/>
      </w:tblPr>
      <w:tblGrid>
        <w:gridCol w:w="831"/>
        <w:gridCol w:w="1340"/>
        <w:gridCol w:w="2070"/>
        <w:gridCol w:w="1578"/>
        <w:gridCol w:w="1612"/>
        <w:gridCol w:w="1289"/>
        <w:gridCol w:w="1289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Paired Samples Effect Sizes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Merge w:val="restart"/>
            <w:tcBorders>
              <w:top w:val="none" w:sz="1" w:color="152935"/>
              <w:left w:val="none" w:sz="1" w:color="152935"/>
            </w:tcBorders>
            <w:vAlign w:val="bottom"/>
          </w:tcPr>
          <w:tcPr>
            <w:hMerge w:val="restart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vMerge w:val="restart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Standardizer</w:t>
            </w:r>
            <w:r>
              <w:rPr>
                <w:vertAlign w:val="superscript"/>
              </w:rPr>
              <w:t>a</w:t>
            </w:r>
          </w:p>
        </w:tc>
        <w:tc>
          <w:tcPr>
            <w:v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Point Estimate</w:t>
            </w:r>
          </w:p>
        </w:tc>
        <w:tc>
          <w:tcPr>
            <w:h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95% Confidence Interval</w:t>
            </w:r>
          </w:p>
        </w:tc>
        <w:tc>
          <w:tcPr>
            <w:h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</w:tr>
      <w:tr>
        <w:tc>
          <w:tcPr>
            <w:vMerge w:val="continue"/>
            <w:tcBorders>
              <w:top w:val="none" w:sz="1" w:color="152935"/>
              <w:left w:val="none" w:sz="1" w:color="152935"/>
            </w:tcBorders>
          </w:tcPr>
          <w:tcPr>
            <w:hMerge w:val="restart"/>
          </w:tcPr>
          <w:p/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v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</w:tcPr>
          <w:p/>
        </w:tc>
        <w:tc>
          <w:tcPr>
            <w:v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</w:tcPr>
          <w:p/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Lower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Upper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Pair 1</w:t>
            </w:r>
          </w:p>
        </w:tc>
        <w:tc>
          <w:tcPr>
            <w:vMerge w:val="restart"/>
            <w:tcBorders>
              <w:top w:val="single" w:sz="1" w:color="152935"/>
              <w:left w:val="none" w:sz="1" w:color="aeaeae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Q17 - Q18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Cohen's d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1.166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-.660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-1.252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-.046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vMerge w:val="continue"/>
            <w:tcBorders>
              <w:top w:val="single" w:sz="1" w:color="152935"/>
              <w:left w:val="none" w:sz="1" w:color="aeaeae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Hedges' correction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1.246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-.618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-1.172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-.043</w:t>
            </w:r>
          </w:p>
        </w:tc>
      </w:tr>
    </w:tbl>
    <w:tbl>
      <w:tblPr>
        <w:tblW w:w="0" w:type="auto"/>
        <w:jc w:val="left"/>
        <w:tblLayout w:type="fixed"/>
      </w:tblPr>
      <w:tblGrid>
        <w:gridCol w:w="831"/>
        <w:gridCol w:w="1340"/>
        <w:gridCol w:w="2070"/>
        <w:gridCol w:w="1578"/>
        <w:gridCol w:w="1612"/>
        <w:gridCol w:w="1289"/>
        <w:gridCol w:w="1289"/>
      </w:tblGrid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color w:val="010205"/>
                <w:sz w:val="24"/>
              </w:rPr>
              <w:t>a. The denominator used in estimating the effect sizes.</w:t>
              <w:br/>
              <w:t>Cohen's d uses the sample standard deviation of the mean difference.</w:t>
              <w:br/>
              <w:t>Hedges' correction uses the sample standard deviation of the mean difference, plus a correction factor.</w:t>
              <w:br/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p>
      <w:r/>
    </w:p>
    <w:p>
      <w:pPr>
        <w:spacing w:before="200"/>
        <w:jc w:val="left"/>
      </w:pPr>
      <w:r/>
      <w:r>
        <w:rPr>
          <w:rFonts w:ascii="Arial" w:hAnsi="Arial" w:cs="Arial" w:eastAsia="Arial"/>
          <w:b w:val="true"/>
          <w:color w:val="000000"/>
          <w:sz w:val="28"/>
        </w:rPr>
        <w:t/>
        <w:cr/>
        <w:t>Frequencies</w:t>
        <w:cr/>
      </w:r>
    </w:p>
    <w:p>
      <w:r/>
    </w:p>
    <w:tbl>
      <w:tblPr>
        <w:tblW w:w="0" w:type="auto"/>
        <w:jc w:val="left"/>
        <w:tblLayout w:type="fixed"/>
      </w:tblPr>
      <w:tblGrid>
        <w:gridCol w:w="2499"/>
        <w:gridCol w:w="2788"/>
        <w:gridCol w:w="2754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Notes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Output Created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03-JAN-2023 14:44:19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Comments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010205"/>
                <w:sz w:val="24"/>
              </w:rPr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Input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Data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010205"/>
                <w:sz w:val="24"/>
              </w:rPr>
              <w:t>/Users/jensykes/Documents/PhDStats/CorrectQualitativeStats.sav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Active Dataset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010205"/>
                <w:sz w:val="24"/>
              </w:rPr>
              <w:t>DataSet1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Filter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010205"/>
                <w:sz w:val="24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Weight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010205"/>
                <w:sz w:val="24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Split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010205"/>
                <w:sz w:val="24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N of Rows in Working Data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Missing Value Handling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Definition of Missing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010205"/>
                <w:sz w:val="24"/>
              </w:rPr>
              <w:t>User-defined missing values are treated as missing.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Cases Used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010205"/>
                <w:sz w:val="24"/>
              </w:rPr>
              <w:t>Statistics are based on all cases with valid data.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Syntax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010205"/>
                <w:sz w:val="24"/>
              </w:rPr>
              <w:t>FREQUENCIES VARIABLES=Q1 Q2 Q3 Q4 Q5 Q6 Q8 Q9 Q10 Q11 Q12 Q14 Q15 Q16 Q17 Q18</w:t>
              <w:br/>
              <w:t>/BARCHART PERCENT</w:t>
              <w:br/>
              <w:t>/ORDER=ANALYSIS.</w:t>
              <w:br/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Resources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Processor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00:00:04.25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Elapsed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00:00:05.00</w:t>
            </w:r>
          </w:p>
        </w:tc>
      </w:tr>
    </w:tbl>
    <w:p>
      <w:r/>
    </w:p>
    <w:tbl>
      <w:tblPr>
        <w:tblW w:w="0" w:type="auto"/>
        <w:jc w:val="left"/>
        <w:tblLayout w:type="fixed"/>
      </w:tblPr>
      <w:tblGrid>
        <w:gridCol w:w="833"/>
        <w:gridCol w:w="952"/>
        <w:gridCol w:w="1156"/>
        <w:gridCol w:w="1156"/>
        <w:gridCol w:w="1156"/>
        <w:gridCol w:w="1156"/>
        <w:gridCol w:w="1156"/>
        <w:gridCol w:w="1156"/>
        <w:gridCol w:w="1156"/>
        <w:gridCol w:w="1156"/>
        <w:gridCol w:w="115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Statistics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Q1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Q2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Q3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Q4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Q5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Q6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Q8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Q9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Q10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N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Missing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0</w:t>
            </w:r>
          </w:p>
        </w:tc>
      </w:tr>
    </w:tbl>
    <w:p>
      <w:r/>
    </w:p>
    <w:tbl>
      <w:tblPr>
        <w:tblW w:w="0" w:type="auto"/>
        <w:jc w:val="left"/>
        <w:tblLayout w:type="fixed"/>
      </w:tblPr>
      <w:tblGrid>
        <w:gridCol w:w="833"/>
        <w:gridCol w:w="952"/>
        <w:gridCol w:w="1156"/>
        <w:gridCol w:w="1156"/>
        <w:gridCol w:w="1156"/>
        <w:gridCol w:w="1156"/>
        <w:gridCol w:w="1156"/>
        <w:gridCol w:w="1156"/>
        <w:gridCol w:w="115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Statistics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Q11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Q12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Q14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Q15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Q16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Q17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Q18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N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Missing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0</w:t>
            </w:r>
          </w:p>
        </w:tc>
      </w:tr>
    </w:tbl>
    <w:p>
      <w:r/>
    </w:p>
    <w:p>
      <w:pPr>
        <w:spacing w:before="200"/>
        <w:jc w:val="left"/>
      </w:pPr>
      <w:r/>
      <w:r>
        <w:rPr>
          <w:rFonts w:ascii="Arial" w:hAnsi="Arial" w:cs="Arial" w:eastAsia="Arial"/>
          <w:b w:val="true"/>
          <w:color w:val="000000"/>
          <w:sz w:val="28"/>
        </w:rPr>
        <w:t/>
        <w:cr/>
        <w:t>Frequency Table</w:t>
        <w:cr/>
      </w:r>
    </w:p>
    <w:p>
      <w:r/>
    </w:p>
    <w:tbl>
      <w:tblPr>
        <w:tblW w:w="0" w:type="auto"/>
        <w:jc w:val="left"/>
        <w:tblLayout w:type="fixed"/>
      </w:tblPr>
      <w:tblGrid>
        <w:gridCol w:w="833"/>
        <w:gridCol w:w="833"/>
        <w:gridCol w:w="1241"/>
        <w:gridCol w:w="1156"/>
        <w:gridCol w:w="1530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Q1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2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5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38.5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38.5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38.5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46.2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46.2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84.6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92.3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left"/>
        <w:tblLayout w:type="fixed"/>
      </w:tblPr>
      <w:tblGrid>
        <w:gridCol w:w="833"/>
        <w:gridCol w:w="833"/>
        <w:gridCol w:w="1241"/>
        <w:gridCol w:w="1156"/>
        <w:gridCol w:w="1530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Q2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2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23.1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23.1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38.5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38.5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69.2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left"/>
        <w:tblLayout w:type="fixed"/>
      </w:tblPr>
      <w:tblGrid>
        <w:gridCol w:w="833"/>
        <w:gridCol w:w="833"/>
        <w:gridCol w:w="1241"/>
        <w:gridCol w:w="1156"/>
        <w:gridCol w:w="1530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Q3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2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23.1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23.1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38.5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38.5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69.2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23.1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23.1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92.3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left"/>
        <w:tblLayout w:type="fixed"/>
      </w:tblPr>
      <w:tblGrid>
        <w:gridCol w:w="833"/>
        <w:gridCol w:w="833"/>
        <w:gridCol w:w="1241"/>
        <w:gridCol w:w="1156"/>
        <w:gridCol w:w="1530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Q4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2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46.2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38.5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38.5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84.6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left"/>
        <w:tblLayout w:type="fixed"/>
      </w:tblPr>
      <w:tblGrid>
        <w:gridCol w:w="833"/>
        <w:gridCol w:w="833"/>
        <w:gridCol w:w="1241"/>
        <w:gridCol w:w="1156"/>
        <w:gridCol w:w="1530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Q5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3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61.5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38.5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38.5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left"/>
        <w:tblLayout w:type="fixed"/>
      </w:tblPr>
      <w:tblGrid>
        <w:gridCol w:w="833"/>
        <w:gridCol w:w="833"/>
        <w:gridCol w:w="1241"/>
        <w:gridCol w:w="1156"/>
        <w:gridCol w:w="1530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Q6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2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38.5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38.5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46.2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76.9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23.1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23.1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left"/>
        <w:tblLayout w:type="fixed"/>
      </w:tblPr>
      <w:tblGrid>
        <w:gridCol w:w="833"/>
        <w:gridCol w:w="833"/>
        <w:gridCol w:w="1241"/>
        <w:gridCol w:w="1156"/>
        <w:gridCol w:w="1530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Q8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2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61.5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61.5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76.9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92.3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left"/>
        <w:tblLayout w:type="fixed"/>
      </w:tblPr>
      <w:tblGrid>
        <w:gridCol w:w="833"/>
        <w:gridCol w:w="833"/>
        <w:gridCol w:w="1241"/>
        <w:gridCol w:w="1156"/>
        <w:gridCol w:w="1530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Q9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2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61.5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61.5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76.9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23.1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23.1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left"/>
        <w:tblLayout w:type="fixed"/>
      </w:tblPr>
      <w:tblGrid>
        <w:gridCol w:w="833"/>
        <w:gridCol w:w="833"/>
        <w:gridCol w:w="1241"/>
        <w:gridCol w:w="1156"/>
        <w:gridCol w:w="1530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Q10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2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46.2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53.8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46.2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46.2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left"/>
        <w:tblLayout w:type="fixed"/>
      </w:tblPr>
      <w:tblGrid>
        <w:gridCol w:w="833"/>
        <w:gridCol w:w="833"/>
        <w:gridCol w:w="1241"/>
        <w:gridCol w:w="1156"/>
        <w:gridCol w:w="1530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Q11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3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38.5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38.5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69.2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left"/>
        <w:tblLayout w:type="fixed"/>
      </w:tblPr>
      <w:tblGrid>
        <w:gridCol w:w="833"/>
        <w:gridCol w:w="833"/>
        <w:gridCol w:w="1241"/>
        <w:gridCol w:w="1156"/>
        <w:gridCol w:w="1530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Q12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2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23.1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23.1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38.5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38.5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69.2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left"/>
        <w:tblLayout w:type="fixed"/>
      </w:tblPr>
      <w:tblGrid>
        <w:gridCol w:w="833"/>
        <w:gridCol w:w="833"/>
        <w:gridCol w:w="1241"/>
        <w:gridCol w:w="1156"/>
        <w:gridCol w:w="1530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Q14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23.1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23.1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38.5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61.5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61.5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left"/>
        <w:tblLayout w:type="fixed"/>
      </w:tblPr>
      <w:tblGrid>
        <w:gridCol w:w="833"/>
        <w:gridCol w:w="833"/>
        <w:gridCol w:w="1241"/>
        <w:gridCol w:w="1156"/>
        <w:gridCol w:w="1530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Q15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2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61.5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61.5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76.9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23.1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23.1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left"/>
        <w:tblLayout w:type="fixed"/>
      </w:tblPr>
      <w:tblGrid>
        <w:gridCol w:w="833"/>
        <w:gridCol w:w="833"/>
        <w:gridCol w:w="1241"/>
        <w:gridCol w:w="1156"/>
        <w:gridCol w:w="1530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Q16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2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23.1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61.5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61.5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84.6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left"/>
        <w:tblLayout w:type="fixed"/>
      </w:tblPr>
      <w:tblGrid>
        <w:gridCol w:w="833"/>
        <w:gridCol w:w="833"/>
        <w:gridCol w:w="1241"/>
        <w:gridCol w:w="1156"/>
        <w:gridCol w:w="1530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Q17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2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46.2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46.2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76.9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23.1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23.1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left"/>
        <w:tblLayout w:type="fixed"/>
      </w:tblPr>
      <w:tblGrid>
        <w:gridCol w:w="833"/>
        <w:gridCol w:w="833"/>
        <w:gridCol w:w="1241"/>
        <w:gridCol w:w="1156"/>
        <w:gridCol w:w="1530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rFonts w:ascii="Arial" w:hAnsi="Arial" w:cs="Arial" w:eastAsia="Arial"/>
                <w:b w:val="true"/>
                <w:color w:val="010205"/>
                <w:sz w:val="28"/>
              </w:rPr>
              <w:t>Q18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color w:val="264a60"/>
                <w:sz w:val="24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2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15.4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30.8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61.5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61.5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92.3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color w:val="264a60"/>
                <w:sz w:val="24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color w:val="010205"/>
                <w:sz w:val="24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p>
      <w:pPr>
        <w:spacing w:before="200"/>
        <w:jc w:val="left"/>
      </w:pPr>
      <w:r/>
      <w:r>
        <w:rPr>
          <w:rFonts w:ascii="Arial" w:hAnsi="Arial" w:cs="Arial" w:eastAsia="Arial"/>
          <w:b w:val="true"/>
          <w:color w:val="000000"/>
          <w:sz w:val="28"/>
        </w:rPr>
        <w:t/>
        <w:cr/>
        <w:t>Bar Chart</w:t>
        <w:cr/>
      </w:r>
    </w:p>
    <w:p>
      <w:r/>
    </w:p>
    <w:p>
      <w:pPr>
        <w:jc w:val="left"/>
      </w:pPr>
      <w:r>
        <w:drawing>
          <wp:inline distT="0" distR="0" distB="0" distL="0">
            <wp:extent cx="7099300" cy="4172616"/>
            <wp:docPr id="0" name="Drawing 0" descr="img.e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g.eps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417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/>
    </w:p>
    <w:p>
      <w:pPr>
        <w:jc w:val="left"/>
      </w:pPr>
      <w:r>
        <w:drawing>
          <wp:inline distT="0" distR="0" distB="0" distL="0">
            <wp:extent cx="7099300" cy="4172616"/>
            <wp:docPr id="1" name="Drawing 1" descr="img.e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.eps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417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/>
    </w:p>
    <w:p>
      <w:pPr>
        <w:jc w:val="left"/>
      </w:pPr>
      <w:r>
        <w:drawing>
          <wp:inline distT="0" distR="0" distB="0" distL="0">
            <wp:extent cx="7099300" cy="4172616"/>
            <wp:docPr id="2" name="Drawing 2" descr="img.e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g.eps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417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/>
    </w:p>
    <w:p>
      <w:pPr>
        <w:jc w:val="left"/>
      </w:pPr>
      <w:r>
        <w:drawing>
          <wp:inline distT="0" distR="0" distB="0" distL="0">
            <wp:extent cx="7099300" cy="4172616"/>
            <wp:docPr id="3" name="Drawing 3" descr="img.e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g.eps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417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/>
    </w:p>
    <w:p>
      <w:pPr>
        <w:jc w:val="left"/>
      </w:pPr>
      <w:r>
        <w:drawing>
          <wp:inline distT="0" distR="0" distB="0" distL="0">
            <wp:extent cx="7099300" cy="4172616"/>
            <wp:docPr id="4" name="Drawing 4" descr="img.e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g.eps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417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/>
    </w:p>
    <w:p>
      <w:pPr>
        <w:jc w:val="left"/>
      </w:pPr>
      <w:r>
        <w:drawing>
          <wp:inline distT="0" distR="0" distB="0" distL="0">
            <wp:extent cx="7099300" cy="4176059"/>
            <wp:docPr id="5" name="Drawing 5" descr="img.e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g.eps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417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/>
    </w:p>
    <w:p>
      <w:pPr>
        <w:jc w:val="left"/>
      </w:pPr>
      <w:r>
        <w:drawing>
          <wp:inline distT="0" distR="0" distB="0" distL="0">
            <wp:extent cx="7099300" cy="4176059"/>
            <wp:docPr id="6" name="Drawing 6" descr="img.e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g.eps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417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/>
    </w:p>
    <w:p>
      <w:pPr>
        <w:jc w:val="left"/>
      </w:pPr>
      <w:r>
        <w:drawing>
          <wp:inline distT="0" distR="0" distB="0" distL="0">
            <wp:extent cx="7099300" cy="4176059"/>
            <wp:docPr id="7" name="Drawing 7" descr="img.e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g.eps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417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/>
    </w:p>
    <w:p>
      <w:pPr>
        <w:jc w:val="left"/>
      </w:pPr>
      <w:r>
        <w:drawing>
          <wp:inline distT="0" distR="0" distB="0" distL="0">
            <wp:extent cx="7099300" cy="4176059"/>
            <wp:docPr id="8" name="Drawing 8" descr="img.e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g.eps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417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/>
    </w:p>
    <w:p>
      <w:pPr>
        <w:jc w:val="left"/>
      </w:pPr>
      <w:r>
        <w:drawing>
          <wp:inline distT="0" distR="0" distB="0" distL="0">
            <wp:extent cx="7099300" cy="4172616"/>
            <wp:docPr id="9" name="Drawing 9" descr="img.e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g.eps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417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/>
    </w:p>
    <w:p>
      <w:pPr>
        <w:jc w:val="left"/>
      </w:pPr>
      <w:r>
        <w:drawing>
          <wp:inline distT="0" distR="0" distB="0" distL="0">
            <wp:extent cx="7099300" cy="4172616"/>
            <wp:docPr id="10" name="Drawing 10" descr="img.e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g.eps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417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/>
    </w:p>
    <w:p>
      <w:pPr>
        <w:jc w:val="left"/>
      </w:pPr>
      <w:r>
        <w:drawing>
          <wp:inline distT="0" distR="0" distB="0" distL="0">
            <wp:extent cx="7099300" cy="4176059"/>
            <wp:docPr id="11" name="Drawing 11" descr="img.e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g.eps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417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/>
    </w:p>
    <w:p>
      <w:pPr>
        <w:jc w:val="left"/>
      </w:pPr>
      <w:r>
        <w:drawing>
          <wp:inline distT="0" distR="0" distB="0" distL="0">
            <wp:extent cx="7099300" cy="4176059"/>
            <wp:docPr id="12" name="Drawing 12" descr="img.e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g.eps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417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/>
    </w:p>
    <w:p>
      <w:pPr>
        <w:jc w:val="left"/>
      </w:pPr>
      <w:r>
        <w:drawing>
          <wp:inline distT="0" distR="0" distB="0" distL="0">
            <wp:extent cx="7099300" cy="4172616"/>
            <wp:docPr id="13" name="Drawing 13" descr="img.e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g.eps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417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/>
    </w:p>
    <w:p>
      <w:pPr>
        <w:jc w:val="left"/>
      </w:pPr>
      <w:r>
        <w:drawing>
          <wp:inline distT="0" distR="0" distB="0" distL="0">
            <wp:extent cx="7099300" cy="4176059"/>
            <wp:docPr id="14" name="Drawing 14" descr="img.e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g.eps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417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/>
    </w:p>
    <w:p>
      <w:pPr>
        <w:jc w:val="left"/>
      </w:pPr>
      <w:r>
        <w:drawing>
          <wp:inline distT="0" distR="0" distB="0" distL="0">
            <wp:extent cx="7099300" cy="4172616"/>
            <wp:docPr id="15" name="Drawing 15" descr="img.e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g.eps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417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h="16840" w:w="11900" w:orient="portrait"/>
      <w:pgMar w:left="360" w:top="360" w:right="360" w:bottom="819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eps" Type="http://schemas.openxmlformats.org/officeDocument/2006/relationships/image"/><Relationship Id="rId11" Target="media/image10.eps" Type="http://schemas.openxmlformats.org/officeDocument/2006/relationships/image"/><Relationship Id="rId12" Target="media/image11.eps" Type="http://schemas.openxmlformats.org/officeDocument/2006/relationships/image"/><Relationship Id="rId13" Target="media/image12.eps" Type="http://schemas.openxmlformats.org/officeDocument/2006/relationships/image"/><Relationship Id="rId14" Target="media/image13.eps" Type="http://schemas.openxmlformats.org/officeDocument/2006/relationships/image"/><Relationship Id="rId15" Target="media/image14.eps" Type="http://schemas.openxmlformats.org/officeDocument/2006/relationships/image"/><Relationship Id="rId16" Target="media/image15.eps" Type="http://schemas.openxmlformats.org/officeDocument/2006/relationships/image"/><Relationship Id="rId17" Target="media/image16.eps" Type="http://schemas.openxmlformats.org/officeDocument/2006/relationships/image"/><Relationship Id="rId2" Target="media/image1.eps" Type="http://schemas.openxmlformats.org/officeDocument/2006/relationships/image"/><Relationship Id="rId3" Target="media/image2.eps" Type="http://schemas.openxmlformats.org/officeDocument/2006/relationships/image"/><Relationship Id="rId4" Target="media/image3.eps" Type="http://schemas.openxmlformats.org/officeDocument/2006/relationships/image"/><Relationship Id="rId5" Target="media/image4.eps" Type="http://schemas.openxmlformats.org/officeDocument/2006/relationships/image"/><Relationship Id="rId6" Target="media/image5.eps" Type="http://schemas.openxmlformats.org/officeDocument/2006/relationships/image"/><Relationship Id="rId7" Target="media/image6.eps" Type="http://schemas.openxmlformats.org/officeDocument/2006/relationships/image"/><Relationship Id="rId8" Target="media/image7.eps" Type="http://schemas.openxmlformats.org/officeDocument/2006/relationships/image"/><Relationship Id="rId9" Target="media/image8.eps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2023-01-03T14:45:23Z</dcterms:created>
  <dc:creator>IBM SPSS Statistics</dc:creator>
</cp:coreProperties>
</file>