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33C7E930"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E4546">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A732AB4"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 they lose that amount.</w:t>
      </w:r>
    </w:p>
    <w:p w14:paraId="311B196A" w14:textId="6C9891B5"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E4546">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we wanted to analyze using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EF6890D"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E4546">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E4546">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E4546">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 xml:space="preserve">Archive and create a database that could be used be researchers to analyze the data for themselves. </w:t>
      </w:r>
    </w:p>
    <w:p w14:paraId="6BF23A3F" w14:textId="3A245C10" w:rsidR="008A3C23" w:rsidRDefault="006C37BD" w:rsidP="001F4C5C">
      <w:pPr>
        <w:pStyle w:val="Heading1"/>
      </w:pPr>
      <w:r>
        <w:t>Data</w:t>
      </w:r>
    </w:p>
    <w:p w14:paraId="244170BE" w14:textId="3FDCDE07" w:rsidR="00E97402" w:rsidRDefault="006C37BD">
      <w:pPr>
        <w:pStyle w:val="Text"/>
      </w:pPr>
      <w:r>
        <w:t xml:space="preserve">Our approach to this project involved crawling the </w:t>
      </w:r>
      <w:proofErr w:type="gramStart"/>
      <w:r>
        <w:t>J!</w:t>
      </w:r>
      <w:r w:rsidR="00D06661">
        <w:t>-</w:t>
      </w:r>
      <w:proofErr w:type="gramEnd"/>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E4546">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4117125C"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E4546" w:rsidRPr="00FE4546">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r w:rsidR="00B65B36">
        <w:fldChar w:fldCharType="begin"/>
      </w:r>
      <w:r w:rsidR="00B65B36">
        <w:instrText xml:space="preserve"> SEQ Figure \* AR</w:instrText>
      </w:r>
      <w:r w:rsidR="00B65B36">
        <w:instrText xml:space="preserve">ABIC </w:instrText>
      </w:r>
      <w:r w:rsidR="00B65B36">
        <w:fldChar w:fldCharType="separate"/>
      </w:r>
      <w:r w:rsidR="005E1460">
        <w:rPr>
          <w:noProof/>
        </w:rPr>
        <w:t>1</w:t>
      </w:r>
      <w:r w:rsidR="00B65B36">
        <w:rPr>
          <w:noProof/>
        </w:rPr>
        <w:fldChar w:fldCharType="end"/>
      </w:r>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1D584D70"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changes which set no limit on a returning champion’s number of consecutive appearances</w:t>
      </w:r>
      <w:r w:rsidR="00FE4546">
        <w:t xml:space="preserve"> </w:t>
      </w:r>
      <w:sdt>
        <w:sdtPr>
          <w:id w:val="436799680"/>
          <w:citation/>
        </w:sdtPr>
        <w:sdtEndPr/>
        <w:sdtContent>
          <w:r w:rsidR="00FE4546">
            <w:fldChar w:fldCharType="begin"/>
          </w:r>
          <w:r w:rsidR="00FE4546">
            <w:instrText xml:space="preserve"> CITATION Kin03 \l 1033 </w:instrText>
          </w:r>
          <w:r w:rsidR="00FE4546">
            <w:fldChar w:fldCharType="separate"/>
          </w:r>
          <w:r w:rsidR="00FE4546">
            <w:rPr>
              <w:noProof/>
            </w:rPr>
            <w:t>[8]</w:t>
          </w:r>
          <w:r w:rsidR="00FE4546">
            <w:fldChar w:fldCharType="end"/>
          </w:r>
        </w:sdtContent>
      </w:sdt>
      <w:r w:rsidR="00FE4546">
        <w:t>.</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D04140">
        <w:t xml:space="preserve">(Table </w:t>
      </w:r>
      <w:r w:rsidR="00D04140">
        <w:t>I</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&#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r w:rsidR="00B65B36">
        <w:fldChar w:fldCharType="begin"/>
      </w:r>
      <w:r w:rsidR="00B65B36">
        <w:instrText xml:space="preserve"> SEQ Figure \* ARABIC </w:instrText>
      </w:r>
      <w:r w:rsidR="00B65B36">
        <w:fldChar w:fldCharType="separate"/>
      </w:r>
      <w:r w:rsidR="005E1460">
        <w:rPr>
          <w:noProof/>
        </w:rPr>
        <w:t>2</w:t>
      </w:r>
      <w:r w:rsidR="00B65B36">
        <w:rPr>
          <w:noProof/>
        </w:rPr>
        <w:fldChar w:fldCharType="end"/>
      </w:r>
      <w:bookmarkEnd w:id="5"/>
      <w:r>
        <w:t>: Most common categories</w:t>
      </w:r>
    </w:p>
    <w:p w14:paraId="510A4E25" w14:textId="7184250C" w:rsidR="000C6CA1" w:rsidRPr="000C6CA1" w:rsidRDefault="000C6CA1" w:rsidP="000C6CA1">
      <w:pPr>
        <w:pStyle w:val="Heading2"/>
      </w:pPr>
      <w:r>
        <w:t>Daily Doubles</w:t>
      </w:r>
    </w:p>
    <w:bookmarkEnd w:id="4"/>
    <w:p w14:paraId="15B56B70" w14:textId="10E9FA26"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r w:rsidR="00FE4546">
        <w:rPr>
          <w:sz w:val="20"/>
          <w:szCs w:val="20"/>
        </w:rPr>
        <w:t xml:space="preserve"> </w:t>
      </w:r>
      <w:sdt>
        <w:sdtPr>
          <w:rPr>
            <w:sz w:val="20"/>
            <w:szCs w:val="20"/>
          </w:rPr>
          <w:id w:val="-1332134303"/>
          <w:citation/>
        </w:sdtPr>
        <w:sdtEndPr/>
        <w:sdtContent>
          <w:r w:rsidR="00FE4546">
            <w:rPr>
              <w:sz w:val="20"/>
              <w:szCs w:val="20"/>
            </w:rPr>
            <w:fldChar w:fldCharType="begin"/>
          </w:r>
          <w:r w:rsidR="00FE4546">
            <w:rPr>
              <w:sz w:val="20"/>
              <w:szCs w:val="20"/>
            </w:rPr>
            <w:instrText xml:space="preserve"> CITATION Jeo16 \l 1033 </w:instrText>
          </w:r>
          <w:r w:rsidR="00FE4546">
            <w:rPr>
              <w:sz w:val="20"/>
              <w:szCs w:val="20"/>
            </w:rPr>
            <w:fldChar w:fldCharType="separate"/>
          </w:r>
          <w:r w:rsidR="00FE4546" w:rsidRPr="00FE4546">
            <w:rPr>
              <w:noProof/>
              <w:sz w:val="20"/>
              <w:szCs w:val="20"/>
            </w:rPr>
            <w:t>[9]</w:t>
          </w:r>
          <w:r w:rsidR="00FE4546">
            <w:rPr>
              <w:sz w:val="20"/>
              <w:szCs w:val="20"/>
            </w:rPr>
            <w:fldChar w:fldCharType="end"/>
          </w:r>
        </w:sdtContent>
      </w:sdt>
      <w:r w:rsidRPr="00724CBE">
        <w:rPr>
          <w:sz w:val="20"/>
          <w:szCs w:val="20"/>
        </w:rPr>
        <w:t>. If the contestant gets the question correct, their wager is added to their current score. If the contestant gets the question wrong, the wager is subtracted from their current score.</w:t>
      </w:r>
    </w:p>
    <w:p w14:paraId="060D352E" w14:textId="49499F7A"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lastRenderedPageBreak/>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E4546" w:rsidRPr="00FE4546">
            <w:rPr>
              <w:noProof/>
              <w:sz w:val="20"/>
              <w:szCs w:val="20"/>
            </w:rPr>
            <w:t>[10]</w:t>
          </w:r>
          <w:r w:rsidR="00CB17BC">
            <w:rPr>
              <w:sz w:val="20"/>
              <w:szCs w:val="20"/>
            </w:rPr>
            <w:fldChar w:fldCharType="end"/>
          </w:r>
        </w:sdtContent>
      </w:sdt>
      <w:r w:rsidR="00724CBE">
        <w:rPr>
          <w:sz w:val="20"/>
          <w:szCs w:val="20"/>
        </w:rPr>
        <w:t>.</w:t>
      </w:r>
    </w:p>
    <w:p w14:paraId="31668294" w14:textId="290F23CF"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r w:rsidR="00B65B36">
        <w:fldChar w:fldCharType="begin"/>
      </w:r>
      <w:r w:rsidR="00B65B36">
        <w:instrText xml:space="preserve"> SEQ Figure \* ARABIC </w:instrText>
      </w:r>
      <w:r w:rsidR="00B65B36">
        <w:fldChar w:fldCharType="separate"/>
      </w:r>
      <w:r w:rsidR="005E1460">
        <w:rPr>
          <w:noProof/>
        </w:rPr>
        <w:t>3</w:t>
      </w:r>
      <w:r w:rsidR="00B65B36">
        <w:rPr>
          <w:noProof/>
        </w:rPr>
        <w:fldChar w:fldCharType="end"/>
      </w:r>
      <w:bookmarkEnd w:id="7"/>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8" w:name="_Ref67580976"/>
      <w:r>
        <w:t xml:space="preserve">Figure </w:t>
      </w:r>
      <w:r w:rsidR="00B65B36">
        <w:fldChar w:fldCharType="begin"/>
      </w:r>
      <w:r w:rsidR="00B65B36">
        <w:instrText xml:space="preserve"> SEQ Figure \* ARABIC </w:instrText>
      </w:r>
      <w:r w:rsidR="00B65B36">
        <w:fldChar w:fldCharType="separate"/>
      </w:r>
      <w:r w:rsidR="005E1460">
        <w:rPr>
          <w:noProof/>
        </w:rPr>
        <w:t>4</w:t>
      </w:r>
      <w:r w:rsidR="00B65B36">
        <w:rPr>
          <w:noProof/>
        </w:rPr>
        <w:fldChar w:fldCharType="end"/>
      </w:r>
      <w:bookmarkEnd w:id="8"/>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w:t>
      </w:r>
      <w:r w:rsidR="00975057">
        <w:rPr>
          <w:sz w:val="20"/>
          <w:szCs w:val="20"/>
        </w:rPr>
        <w:t>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9" w:name="_Ref67580944"/>
      <w:r>
        <w:t xml:space="preserve">Figure </w:t>
      </w:r>
      <w:r w:rsidR="00B65B36">
        <w:fldChar w:fldCharType="begin"/>
      </w:r>
      <w:r w:rsidR="00B65B36">
        <w:instrText xml:space="preserve"> SEQ Figure \* ARABIC </w:instrText>
      </w:r>
      <w:r w:rsidR="00B65B36">
        <w:fldChar w:fldCharType="separate"/>
      </w:r>
      <w:r>
        <w:rPr>
          <w:noProof/>
        </w:rPr>
        <w:t>5</w:t>
      </w:r>
      <w:r w:rsidR="00B65B36">
        <w:rPr>
          <w:noProof/>
        </w:rPr>
        <w:fldChar w:fldCharType="end"/>
      </w:r>
      <w:bookmarkEnd w:id="9"/>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0"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0"/>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334A1B8" w14:textId="30DFD178" w:rsidR="00E076DF" w:rsidRPr="005B7026" w:rsidRDefault="0056697B" w:rsidP="005C64C6">
      <w:pPr>
        <w:pStyle w:val="Caption"/>
        <w:jc w:val="both"/>
      </w:pPr>
      <w:r>
        <w:t xml:space="preserve">Figure </w:t>
      </w:r>
      <w:r w:rsidR="00B65B36">
        <w:fldChar w:fldCharType="begin"/>
      </w:r>
      <w:r w:rsidR="00B65B36">
        <w:instrText xml:space="preserve"> SEQ Figure \* ARABIC </w:instrText>
      </w:r>
      <w:r w:rsidR="00B65B36">
        <w:fldChar w:fldCharType="separate"/>
      </w:r>
      <w:r w:rsidR="005E1460">
        <w:rPr>
          <w:noProof/>
        </w:rPr>
        <w:t>6</w:t>
      </w:r>
      <w:r w:rsidR="00B65B36">
        <w:rPr>
          <w:noProof/>
        </w:rPr>
        <w:fldChar w:fldCharType="end"/>
      </w:r>
      <w:r>
        <w:t xml:space="preserve">: </w:t>
      </w:r>
      <w:r w:rsidR="00496140">
        <w:t xml:space="preserve">Plot of career </w:t>
      </w:r>
      <w:r w:rsidR="006C40E7">
        <w:t>Daily Double</w:t>
      </w:r>
      <w:r w:rsidR="00496140">
        <w:t xml:space="preserve"> counts for the top ten players.</w:t>
      </w:r>
    </w:p>
    <w:p w14:paraId="39E31B6C" w14:textId="51A0B224" w:rsidR="00E97B99" w:rsidRDefault="005B7026" w:rsidP="00E97B99">
      <w:pPr>
        <w:pStyle w:val="Heading1"/>
      </w:pPr>
      <w:proofErr w:type="spellStart"/>
      <w:r>
        <w:t>RShiny</w:t>
      </w:r>
      <w:proofErr w:type="spellEnd"/>
      <w:r>
        <w:t xml:space="preserve"> App</w:t>
      </w:r>
    </w:p>
    <w:p w14:paraId="071AF96F" w14:textId="77777777" w:rsidR="005C64C6" w:rsidRDefault="005C64C6" w:rsidP="005C64C6">
      <w:pPr>
        <w:ind w:firstLine="202"/>
        <w:rPr>
          <w:sz w:val="20"/>
          <w:szCs w:val="20"/>
        </w:rPr>
      </w:pPr>
      <w:r>
        <w:rPr>
          <w:sz w:val="20"/>
          <w:szCs w:val="20"/>
        </w:rPr>
        <w:t xml:space="preserve">The analysis of our data is stored in an R Shiny Application. Two interactive charts allow the user to explore the runs of some of </w:t>
      </w:r>
      <w:proofErr w:type="spellStart"/>
      <w:r>
        <w:rPr>
          <w:sz w:val="20"/>
          <w:szCs w:val="20"/>
        </w:rPr>
        <w:t>Jeopardy!’s</w:t>
      </w:r>
      <w:proofErr w:type="spellEnd"/>
      <w:r>
        <w:rPr>
          <w:sz w:val="20"/>
          <w:szCs w:val="20"/>
        </w:rPr>
        <w:t xml:space="preserve"> most famous and popular players. In addition, the app contains visualizations created to display the results of our MySQL queries. </w:t>
      </w:r>
      <w:r w:rsidRPr="008759A9">
        <w:rPr>
          <w:sz w:val="20"/>
          <w:szCs w:val="20"/>
          <w:highlight w:val="yellow"/>
        </w:rPr>
        <w:t>The application can be found here: LINK.</w:t>
      </w:r>
    </w:p>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t>Data Extraction</w:t>
      </w:r>
    </w:p>
    <w:p w14:paraId="66814E93" w14:textId="6609BDFC" w:rsidR="00841A94" w:rsidRPr="00841A94" w:rsidRDefault="00841A94" w:rsidP="005145CB">
      <w:pPr>
        <w:pStyle w:val="Text"/>
      </w:pPr>
      <w:r w:rsidRPr="00841A94">
        <w:t xml:space="preserve">Upon discovering the package needed to extract the data, our </w:t>
      </w:r>
      <w:r w:rsidRPr="00841A94">
        <w:lastRenderedPageBreak/>
        <w:t xml:space="preserve">team uncovered the package </w:t>
      </w:r>
      <w:r w:rsidR="00A027C4">
        <w:t xml:space="preserve">to </w:t>
      </w:r>
      <w:r w:rsidRPr="00841A94">
        <w:t>output the data in embedded lists. In order to tidy the data, we created a function to add a unique game identifier. This allowed us to begin structuring the database.</w:t>
      </w:r>
    </w:p>
    <w:p w14:paraId="566BFFBE" w14:textId="7564C0A2" w:rsidR="00A60966" w:rsidRDefault="00A60966" w:rsidP="00A60966">
      <w:pPr>
        <w:pStyle w:val="Heading2"/>
      </w:pPr>
      <w:r>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7B9EB956" w14:textId="13391A19" w:rsidR="003B1172" w:rsidRPr="0036400E" w:rsidRDefault="00A34EFE" w:rsidP="003B1172">
      <w:pPr>
        <w:spacing w:line="252" w:lineRule="auto"/>
        <w:ind w:firstLine="202"/>
        <w:jc w:val="both"/>
        <w:rPr>
          <w:sz w:val="20"/>
          <w:szCs w:val="20"/>
        </w:rPr>
      </w:pPr>
      <w:r w:rsidRPr="0036400E">
        <w:rPr>
          <w:sz w:val="20"/>
          <w:szCs w:val="20"/>
        </w:rPr>
        <w:t xml:space="preserve">MySQL Workbench’s Import Wizard functionality was our first approach to dumping all the data into the database. </w:t>
      </w:r>
      <w:r w:rsidR="003B1172">
        <w:rPr>
          <w:sz w:val="20"/>
          <w:szCs w:val="20"/>
        </w:rPr>
        <w:t>Some of the challenges we ran into included the definitions of columns and foreign keys, uploading the data in the proper sequence so as fit our foreign key definitions, and processing special characters in the data.</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475A76A6" w14:textId="4DBD7C0D" w:rsidR="000A6734" w:rsidRPr="00FA519F" w:rsidRDefault="0006377A" w:rsidP="00FA519F">
      <w:pPr>
        <w:ind w:firstLine="202"/>
        <w:rPr>
          <w:sz w:val="20"/>
          <w:szCs w:val="20"/>
        </w:rPr>
      </w:pPr>
      <w:r w:rsidRPr="0006377A">
        <w:rPr>
          <w:sz w:val="20"/>
          <w:szCs w:val="20"/>
          <w:highlight w:val="yellow"/>
        </w:rPr>
        <w:t xml:space="preserve">Space to add challenges on the shiny </w:t>
      </w:r>
      <w:proofErr w:type="gramStart"/>
      <w:r w:rsidRPr="0006377A">
        <w:rPr>
          <w:sz w:val="20"/>
          <w:szCs w:val="20"/>
          <w:highlight w:val="yellow"/>
        </w:rPr>
        <w:t>app</w:t>
      </w:r>
      <w:proofErr w:type="gramEnd"/>
    </w:p>
    <w:p w14:paraId="5396B3D1" w14:textId="788C8856" w:rsidR="005145CB" w:rsidRDefault="005145CB" w:rsidP="005145CB">
      <w:pPr>
        <w:pStyle w:val="Heading2"/>
      </w:pPr>
      <w:r>
        <w:t>Future Improvements</w:t>
      </w:r>
    </w:p>
    <w:p w14:paraId="4257436D" w14:textId="16AC7DF9" w:rsidR="008759A9" w:rsidRPr="008759A9" w:rsidRDefault="008759A9" w:rsidP="008759A9">
      <w:pPr>
        <w:ind w:firstLine="180"/>
        <w:rPr>
          <w:sz w:val="20"/>
          <w:szCs w:val="20"/>
        </w:rPr>
      </w:pPr>
      <w:r>
        <w:rPr>
          <w:sz w:val="20"/>
          <w:szCs w:val="20"/>
        </w:rPr>
        <w:t xml:space="preserve">Having finished this project, we identified three possible areas of future expansion. First would be the hosting of this database in a publicly accessible way for others to access themselves via SQL. Second would be to finish capturing the remaining data fields, primarily around scoring, held on </w:t>
      </w:r>
      <w:proofErr w:type="spellStart"/>
      <w:proofErr w:type="gramStart"/>
      <w:r>
        <w:rPr>
          <w:sz w:val="20"/>
          <w:szCs w:val="20"/>
        </w:rPr>
        <w:t>J!Archive</w:t>
      </w:r>
      <w:proofErr w:type="spellEnd"/>
      <w:proofErr w:type="gramEnd"/>
      <w:r>
        <w:rPr>
          <w:sz w:val="20"/>
          <w:szCs w:val="20"/>
        </w:rPr>
        <w:t xml:space="preserve">. Finally, </w:t>
      </w:r>
      <w:r w:rsidR="00B74060">
        <w:rPr>
          <w:sz w:val="20"/>
          <w:szCs w:val="20"/>
        </w:rPr>
        <w:t xml:space="preserve">our methods here were built as static </w:t>
      </w:r>
      <w:proofErr w:type="gramStart"/>
      <w:r w:rsidR="00B74060">
        <w:rPr>
          <w:sz w:val="20"/>
          <w:szCs w:val="20"/>
        </w:rPr>
        <w:t>operations;</w:t>
      </w:r>
      <w:proofErr w:type="gramEnd"/>
      <w:r w:rsidR="00B74060">
        <w:rPr>
          <w:sz w:val="20"/>
          <w:szCs w:val="20"/>
        </w:rPr>
        <w:t xml:space="preserve"> ideally a continuous feed of information between our database and J! Archive could be constructed so the database remains accurate as new games are added.</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FE4546" w:rsidRDefault="00724CBE" w:rsidP="00993F45">
          <w:pPr>
            <w:pStyle w:val="Heading1"/>
            <w:spacing w:line="252" w:lineRule="auto"/>
          </w:pPr>
          <w:r w:rsidRPr="00FE4546">
            <w:t>References</w:t>
          </w:r>
        </w:p>
        <w:sdt>
          <w:sdtPr>
            <w:rPr>
              <w:sz w:val="20"/>
              <w:szCs w:val="20"/>
            </w:rPr>
            <w:id w:val="111145805"/>
            <w:bibliography/>
          </w:sdtPr>
          <w:sdtEndPr/>
          <w:sdtContent>
            <w:p w14:paraId="2BCC6724" w14:textId="77777777" w:rsidR="00FE4546" w:rsidRPr="00FE4546" w:rsidRDefault="00724CBE" w:rsidP="00993F45">
              <w:pPr>
                <w:spacing w:line="252" w:lineRule="auto"/>
                <w:rPr>
                  <w:noProof/>
                  <w:sz w:val="20"/>
                  <w:szCs w:val="20"/>
                </w:rPr>
              </w:pPr>
              <w:r w:rsidRPr="00FE4546">
                <w:rPr>
                  <w:sz w:val="20"/>
                  <w:szCs w:val="20"/>
                </w:rPr>
                <w:fldChar w:fldCharType="begin"/>
              </w:r>
              <w:r w:rsidRPr="00FE4546">
                <w:rPr>
                  <w:sz w:val="20"/>
                  <w:szCs w:val="20"/>
                </w:rPr>
                <w:instrText xml:space="preserve"> BIBLIOGRAPHY </w:instrText>
              </w:r>
              <w:r w:rsidRPr="00FE4546">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0"/>
              </w:tblGrid>
              <w:tr w:rsidR="00FE4546" w:rsidRPr="00FE4546" w14:paraId="38CED249" w14:textId="77777777" w:rsidTr="00D04140">
                <w:trPr>
                  <w:divId w:val="1010763960"/>
                  <w:tblCellSpacing w:w="15" w:type="dxa"/>
                </w:trPr>
                <w:tc>
                  <w:tcPr>
                    <w:tcW w:w="402" w:type="pct"/>
                    <w:hideMark/>
                  </w:tcPr>
                  <w:p w14:paraId="7ED64BB7" w14:textId="15BDC21C" w:rsidR="00FE4546" w:rsidRPr="00FE4546" w:rsidRDefault="00FE4546">
                    <w:pPr>
                      <w:pStyle w:val="Bibliography"/>
                      <w:rPr>
                        <w:noProof/>
                        <w:sz w:val="20"/>
                        <w:szCs w:val="20"/>
                      </w:rPr>
                    </w:pPr>
                    <w:r w:rsidRPr="00FE4546">
                      <w:rPr>
                        <w:noProof/>
                        <w:sz w:val="20"/>
                        <w:szCs w:val="20"/>
                      </w:rPr>
                      <w:t xml:space="preserve">[1] </w:t>
                    </w:r>
                  </w:p>
                </w:tc>
                <w:tc>
                  <w:tcPr>
                    <w:tcW w:w="4509" w:type="pct"/>
                    <w:hideMark/>
                  </w:tcPr>
                  <w:p w14:paraId="7E23A71C" w14:textId="77777777" w:rsidR="00FE4546" w:rsidRPr="00FE4546" w:rsidRDefault="00FE4546">
                    <w:pPr>
                      <w:pStyle w:val="Bibliography"/>
                      <w:rPr>
                        <w:noProof/>
                        <w:sz w:val="20"/>
                        <w:szCs w:val="20"/>
                      </w:rPr>
                    </w:pPr>
                    <w:r w:rsidRPr="00FE4546">
                      <w:rPr>
                        <w:noProof/>
                        <w:sz w:val="20"/>
                        <w:szCs w:val="20"/>
                      </w:rPr>
                      <w:t>"J! Archive," [Online]. Available: https://j-archive.com. [Accessed 22 03 2021].</w:t>
                    </w:r>
                  </w:p>
                </w:tc>
              </w:tr>
              <w:tr w:rsidR="00FE4546" w:rsidRPr="00FE4546" w14:paraId="0B729A83" w14:textId="77777777" w:rsidTr="00D04140">
                <w:trPr>
                  <w:divId w:val="1010763960"/>
                  <w:tblCellSpacing w:w="15" w:type="dxa"/>
                </w:trPr>
                <w:tc>
                  <w:tcPr>
                    <w:tcW w:w="402" w:type="pct"/>
                    <w:hideMark/>
                  </w:tcPr>
                  <w:p w14:paraId="716610C2" w14:textId="77777777" w:rsidR="00FE4546" w:rsidRPr="00FE4546" w:rsidRDefault="00FE4546">
                    <w:pPr>
                      <w:pStyle w:val="Bibliography"/>
                      <w:rPr>
                        <w:noProof/>
                        <w:sz w:val="20"/>
                        <w:szCs w:val="20"/>
                      </w:rPr>
                    </w:pPr>
                    <w:r w:rsidRPr="00FE4546">
                      <w:rPr>
                        <w:noProof/>
                        <w:sz w:val="20"/>
                        <w:szCs w:val="20"/>
                      </w:rPr>
                      <w:t xml:space="preserve">[2] </w:t>
                    </w:r>
                  </w:p>
                </w:tc>
                <w:tc>
                  <w:tcPr>
                    <w:tcW w:w="4509" w:type="pct"/>
                    <w:hideMark/>
                  </w:tcPr>
                  <w:p w14:paraId="739DE54C" w14:textId="77777777" w:rsidR="00FE4546" w:rsidRPr="00FE4546" w:rsidRDefault="00FE4546">
                    <w:pPr>
                      <w:pStyle w:val="Bibliography"/>
                      <w:rPr>
                        <w:noProof/>
                        <w:sz w:val="20"/>
                        <w:szCs w:val="20"/>
                      </w:rPr>
                    </w:pPr>
                    <w:r w:rsidRPr="00FE4546">
                      <w:rPr>
                        <w:noProof/>
                        <w:sz w:val="20"/>
                        <w:szCs w:val="20"/>
                      </w:rPr>
                      <w:t>K. Q. Seelye, "The New York Times," 08 11 2020. [Online]. Available: https://www.nytimes.com/2020/11/08/arts/television/alex-trebek-dead.html. [Accessed 22 03 2021].</w:t>
                    </w:r>
                  </w:p>
                </w:tc>
              </w:tr>
              <w:tr w:rsidR="00FE4546" w:rsidRPr="00FE4546" w14:paraId="640ADCF6" w14:textId="77777777" w:rsidTr="00D04140">
                <w:trPr>
                  <w:divId w:val="1010763960"/>
                  <w:tblCellSpacing w:w="15" w:type="dxa"/>
                </w:trPr>
                <w:tc>
                  <w:tcPr>
                    <w:tcW w:w="402" w:type="pct"/>
                    <w:hideMark/>
                  </w:tcPr>
                  <w:p w14:paraId="469E377B" w14:textId="77777777" w:rsidR="00FE4546" w:rsidRPr="00FE4546" w:rsidRDefault="00FE4546">
                    <w:pPr>
                      <w:pStyle w:val="Bibliography"/>
                      <w:rPr>
                        <w:noProof/>
                        <w:sz w:val="20"/>
                        <w:szCs w:val="20"/>
                      </w:rPr>
                    </w:pPr>
                    <w:r w:rsidRPr="00FE4546">
                      <w:rPr>
                        <w:noProof/>
                        <w:sz w:val="20"/>
                        <w:szCs w:val="20"/>
                      </w:rPr>
                      <w:t xml:space="preserve">[3] </w:t>
                    </w:r>
                  </w:p>
                </w:tc>
                <w:tc>
                  <w:tcPr>
                    <w:tcW w:w="4509" w:type="pct"/>
                    <w:hideMark/>
                  </w:tcPr>
                  <w:p w14:paraId="3EC343BF" w14:textId="77777777" w:rsidR="00FE4546" w:rsidRPr="00FE4546" w:rsidRDefault="00FE4546">
                    <w:pPr>
                      <w:pStyle w:val="Bibliography"/>
                      <w:rPr>
                        <w:noProof/>
                        <w:sz w:val="20"/>
                        <w:szCs w:val="20"/>
                      </w:rPr>
                    </w:pPr>
                    <w:r w:rsidRPr="00FE4546">
                      <w:rPr>
                        <w:noProof/>
                        <w:sz w:val="20"/>
                        <w:szCs w:val="20"/>
                      </w:rPr>
                      <w:t>"The Jeopardy! Fan," [Online]. Available: https://thejeopardyfan.com. [Accessed 22 03 2021].</w:t>
                    </w:r>
                  </w:p>
                </w:tc>
              </w:tr>
              <w:tr w:rsidR="00FE4546" w:rsidRPr="00FE4546" w14:paraId="458BDF34" w14:textId="77777777" w:rsidTr="00D04140">
                <w:trPr>
                  <w:divId w:val="1010763960"/>
                  <w:tblCellSpacing w:w="15" w:type="dxa"/>
                </w:trPr>
                <w:tc>
                  <w:tcPr>
                    <w:tcW w:w="402" w:type="pct"/>
                    <w:hideMark/>
                  </w:tcPr>
                  <w:p w14:paraId="0FCBBCC3" w14:textId="77777777" w:rsidR="00FE4546" w:rsidRPr="00FE4546" w:rsidRDefault="00FE4546">
                    <w:pPr>
                      <w:pStyle w:val="Bibliography"/>
                      <w:rPr>
                        <w:noProof/>
                        <w:sz w:val="20"/>
                        <w:szCs w:val="20"/>
                      </w:rPr>
                    </w:pPr>
                    <w:r w:rsidRPr="00FE4546">
                      <w:rPr>
                        <w:noProof/>
                        <w:sz w:val="20"/>
                        <w:szCs w:val="20"/>
                      </w:rPr>
                      <w:t xml:space="preserve">[4] </w:t>
                    </w:r>
                  </w:p>
                </w:tc>
                <w:tc>
                  <w:tcPr>
                    <w:tcW w:w="4509" w:type="pct"/>
                    <w:hideMark/>
                  </w:tcPr>
                  <w:p w14:paraId="16152DD4" w14:textId="77777777" w:rsidR="00FE4546" w:rsidRPr="00FE4546" w:rsidRDefault="00FE4546">
                    <w:pPr>
                      <w:pStyle w:val="Bibliography"/>
                      <w:rPr>
                        <w:noProof/>
                        <w:sz w:val="20"/>
                        <w:szCs w:val="20"/>
                      </w:rPr>
                    </w:pPr>
                    <w:r w:rsidRPr="00FE4546">
                      <w:rPr>
                        <w:noProof/>
                        <w:sz w:val="20"/>
                        <w:szCs w:val="20"/>
                      </w:rPr>
                      <w:t>"Jeopardy! History Wiki," [Online]. Available: https://jeopardyhistory.fandom.com/wiki/Jeopardy!_Statistics. [Accessed 22 03 2021].</w:t>
                    </w:r>
                  </w:p>
                </w:tc>
              </w:tr>
              <w:tr w:rsidR="00FE4546" w:rsidRPr="00FE4546" w14:paraId="5BFA182A" w14:textId="77777777" w:rsidTr="00D04140">
                <w:trPr>
                  <w:divId w:val="1010763960"/>
                  <w:tblCellSpacing w:w="15" w:type="dxa"/>
                </w:trPr>
                <w:tc>
                  <w:tcPr>
                    <w:tcW w:w="402" w:type="pct"/>
                    <w:hideMark/>
                  </w:tcPr>
                  <w:p w14:paraId="21FEA8C8" w14:textId="77777777" w:rsidR="00FE4546" w:rsidRPr="00FE4546" w:rsidRDefault="00FE4546">
                    <w:pPr>
                      <w:pStyle w:val="Bibliography"/>
                      <w:rPr>
                        <w:noProof/>
                        <w:sz w:val="20"/>
                        <w:szCs w:val="20"/>
                      </w:rPr>
                    </w:pPr>
                    <w:r w:rsidRPr="00FE4546">
                      <w:rPr>
                        <w:noProof/>
                        <w:sz w:val="20"/>
                        <w:szCs w:val="20"/>
                      </w:rPr>
                      <w:t xml:space="preserve">[5] </w:t>
                    </w:r>
                  </w:p>
                </w:tc>
                <w:tc>
                  <w:tcPr>
                    <w:tcW w:w="4509" w:type="pct"/>
                    <w:hideMark/>
                  </w:tcPr>
                  <w:p w14:paraId="419DC0CC" w14:textId="77777777" w:rsidR="00FE4546" w:rsidRPr="00FE4546" w:rsidRDefault="00FE4546">
                    <w:pPr>
                      <w:pStyle w:val="Bibliography"/>
                      <w:rPr>
                        <w:noProof/>
                        <w:sz w:val="20"/>
                        <w:szCs w:val="20"/>
                      </w:rPr>
                    </w:pPr>
                    <w:r w:rsidRPr="00FE4546">
                      <w:rPr>
                        <w:noProof/>
                        <w:sz w:val="20"/>
                        <w:szCs w:val="20"/>
                      </w:rPr>
                      <w:t>O. Roeder, "FiveThirtyEight," 30 04 2019. [Online]. Available: https://fivethirtyeight.com/features/the-battle-for-jeopardy-supremacy/. [Accessed 22 03 2021].</w:t>
                    </w:r>
                  </w:p>
                </w:tc>
              </w:tr>
              <w:tr w:rsidR="00FE4546" w:rsidRPr="00FE4546" w14:paraId="4AFC39D1" w14:textId="77777777" w:rsidTr="00D04140">
                <w:trPr>
                  <w:divId w:val="1010763960"/>
                  <w:tblCellSpacing w:w="15" w:type="dxa"/>
                </w:trPr>
                <w:tc>
                  <w:tcPr>
                    <w:tcW w:w="402" w:type="pct"/>
                    <w:hideMark/>
                  </w:tcPr>
                  <w:p w14:paraId="247DFD18" w14:textId="77777777" w:rsidR="00FE4546" w:rsidRPr="00FE4546" w:rsidRDefault="00FE4546">
                    <w:pPr>
                      <w:pStyle w:val="Bibliography"/>
                      <w:rPr>
                        <w:noProof/>
                        <w:sz w:val="20"/>
                        <w:szCs w:val="20"/>
                      </w:rPr>
                    </w:pPr>
                    <w:r w:rsidRPr="00FE4546">
                      <w:rPr>
                        <w:noProof/>
                        <w:sz w:val="20"/>
                        <w:szCs w:val="20"/>
                      </w:rPr>
                      <w:t xml:space="preserve">[6] </w:t>
                    </w:r>
                  </w:p>
                </w:tc>
                <w:tc>
                  <w:tcPr>
                    <w:tcW w:w="4509" w:type="pct"/>
                    <w:hideMark/>
                  </w:tcPr>
                  <w:p w14:paraId="10634289" w14:textId="77777777" w:rsidR="00FE4546" w:rsidRPr="00FE4546" w:rsidRDefault="00FE4546">
                    <w:pPr>
                      <w:pStyle w:val="Bibliography"/>
                      <w:rPr>
                        <w:noProof/>
                        <w:sz w:val="20"/>
                        <w:szCs w:val="20"/>
                      </w:rPr>
                    </w:pPr>
                    <w:r w:rsidRPr="00FE4546">
                      <w:rPr>
                        <w:noProof/>
                        <w:sz w:val="20"/>
                        <w:szCs w:val="20"/>
                      </w:rPr>
                      <w:t>M. Farrow, "GitHub," [Online]. Available: https://github.com/mattfarrow1/7330-term-project.</w:t>
                    </w:r>
                  </w:p>
                </w:tc>
              </w:tr>
              <w:tr w:rsidR="00FE4546" w:rsidRPr="00FE4546" w14:paraId="76CF9A32" w14:textId="77777777" w:rsidTr="00D04140">
                <w:trPr>
                  <w:divId w:val="1010763960"/>
                  <w:tblCellSpacing w:w="15" w:type="dxa"/>
                </w:trPr>
                <w:tc>
                  <w:tcPr>
                    <w:tcW w:w="402" w:type="pct"/>
                    <w:hideMark/>
                  </w:tcPr>
                  <w:p w14:paraId="4942DBAB" w14:textId="77777777" w:rsidR="00FE4546" w:rsidRPr="00FE4546" w:rsidRDefault="00FE4546">
                    <w:pPr>
                      <w:pStyle w:val="Bibliography"/>
                      <w:rPr>
                        <w:noProof/>
                        <w:sz w:val="20"/>
                        <w:szCs w:val="20"/>
                      </w:rPr>
                    </w:pPr>
                    <w:r w:rsidRPr="00FE4546">
                      <w:rPr>
                        <w:noProof/>
                        <w:sz w:val="20"/>
                        <w:szCs w:val="20"/>
                      </w:rPr>
                      <w:t xml:space="preserve">[7] </w:t>
                    </w:r>
                  </w:p>
                </w:tc>
                <w:tc>
                  <w:tcPr>
                    <w:tcW w:w="4509" w:type="pct"/>
                    <w:hideMark/>
                  </w:tcPr>
                  <w:p w14:paraId="24F219AC" w14:textId="77777777" w:rsidR="00FE4546" w:rsidRPr="00FE4546" w:rsidRDefault="00FE4546">
                    <w:pPr>
                      <w:pStyle w:val="Bibliography"/>
                      <w:rPr>
                        <w:noProof/>
                        <w:sz w:val="20"/>
                        <w:szCs w:val="20"/>
                      </w:rPr>
                    </w:pPr>
                    <w:r w:rsidRPr="00FE4546">
                      <w:rPr>
                        <w:noProof/>
                        <w:sz w:val="20"/>
                        <w:szCs w:val="20"/>
                      </w:rPr>
                      <w:t>K. Nicholls, "whatr," [Online]. Available: https://kiernann.com/whatr/. [Accessed 22 03 2021].</w:t>
                    </w:r>
                  </w:p>
                </w:tc>
              </w:tr>
              <w:tr w:rsidR="00FE4546" w:rsidRPr="00FE4546" w14:paraId="1B6434D3" w14:textId="77777777" w:rsidTr="00D04140">
                <w:trPr>
                  <w:divId w:val="1010763960"/>
                  <w:tblCellSpacing w:w="15" w:type="dxa"/>
                </w:trPr>
                <w:tc>
                  <w:tcPr>
                    <w:tcW w:w="402" w:type="pct"/>
                    <w:hideMark/>
                  </w:tcPr>
                  <w:p w14:paraId="155B71A5" w14:textId="77777777" w:rsidR="00FE4546" w:rsidRPr="00FE4546" w:rsidRDefault="00FE4546">
                    <w:pPr>
                      <w:pStyle w:val="Bibliography"/>
                      <w:rPr>
                        <w:noProof/>
                        <w:sz w:val="20"/>
                        <w:szCs w:val="20"/>
                      </w:rPr>
                    </w:pPr>
                    <w:r w:rsidRPr="00FE4546">
                      <w:rPr>
                        <w:noProof/>
                        <w:sz w:val="20"/>
                        <w:szCs w:val="20"/>
                      </w:rPr>
                      <w:t xml:space="preserve">[8] </w:t>
                    </w:r>
                  </w:p>
                </w:tc>
                <w:tc>
                  <w:tcPr>
                    <w:tcW w:w="4509" w:type="pct"/>
                    <w:hideMark/>
                  </w:tcPr>
                  <w:p w14:paraId="7023759E" w14:textId="77777777" w:rsidR="00FE4546" w:rsidRPr="00FE4546" w:rsidRDefault="00FE4546">
                    <w:pPr>
                      <w:pStyle w:val="Bibliography"/>
                      <w:rPr>
                        <w:noProof/>
                        <w:sz w:val="20"/>
                        <w:szCs w:val="20"/>
                      </w:rPr>
                    </w:pPr>
                    <w:r w:rsidRPr="00FE4546">
                      <w:rPr>
                        <w:noProof/>
                        <w:sz w:val="20"/>
                        <w:szCs w:val="20"/>
                      </w:rPr>
                      <w:t>King World Productions, Inc., "Press Release," King World, 08 09 2003. [Online]. Available: https://web.archive.org/web/20070928190202/http:/www.kingworld.com/PressRelease.aspx?pressReleaseID=126. [Accessed 27 03 2021].</w:t>
                    </w:r>
                  </w:p>
                </w:tc>
              </w:tr>
              <w:tr w:rsidR="00FE4546" w:rsidRPr="00FE4546" w14:paraId="32C3495F" w14:textId="77777777" w:rsidTr="00D04140">
                <w:trPr>
                  <w:divId w:val="1010763960"/>
                  <w:tblCellSpacing w:w="15" w:type="dxa"/>
                </w:trPr>
                <w:tc>
                  <w:tcPr>
                    <w:tcW w:w="402" w:type="pct"/>
                    <w:hideMark/>
                  </w:tcPr>
                  <w:p w14:paraId="6E4B3108" w14:textId="77777777" w:rsidR="00FE4546" w:rsidRPr="00FE4546" w:rsidRDefault="00FE4546">
                    <w:pPr>
                      <w:pStyle w:val="Bibliography"/>
                      <w:rPr>
                        <w:noProof/>
                        <w:sz w:val="20"/>
                        <w:szCs w:val="20"/>
                      </w:rPr>
                    </w:pPr>
                    <w:r w:rsidRPr="00FE4546">
                      <w:rPr>
                        <w:noProof/>
                        <w:sz w:val="20"/>
                        <w:szCs w:val="20"/>
                      </w:rPr>
                      <w:t xml:space="preserve">[9] </w:t>
                    </w:r>
                  </w:p>
                </w:tc>
                <w:tc>
                  <w:tcPr>
                    <w:tcW w:w="4509" w:type="pct"/>
                    <w:hideMark/>
                  </w:tcPr>
                  <w:p w14:paraId="55A4EA74" w14:textId="77777777" w:rsidR="00FE4546" w:rsidRPr="00FE4546" w:rsidRDefault="00FE4546">
                    <w:pPr>
                      <w:pStyle w:val="Bibliography"/>
                      <w:rPr>
                        <w:noProof/>
                        <w:sz w:val="20"/>
                        <w:szCs w:val="20"/>
                      </w:rPr>
                    </w:pPr>
                    <w:r w:rsidRPr="00FE4546">
                      <w:rPr>
                        <w:noProof/>
                        <w:sz w:val="20"/>
                        <w:szCs w:val="20"/>
                      </w:rPr>
                      <w:t>Jeopardy!, "J!Buzz," Jeopardy!, 07 10 2016. [Online]. Available: https://www.jeopardy.com/jbuzz/behind-scenes/5-jeopardy-rules-every-contestant-should-know. [Accessed 29 03 2021].</w:t>
                    </w:r>
                  </w:p>
                </w:tc>
              </w:tr>
              <w:tr w:rsidR="00FE4546" w:rsidRPr="00FE4546" w14:paraId="2B9A2853" w14:textId="77777777" w:rsidTr="00D04140">
                <w:trPr>
                  <w:divId w:val="1010763960"/>
                  <w:tblCellSpacing w:w="15" w:type="dxa"/>
                </w:trPr>
                <w:tc>
                  <w:tcPr>
                    <w:tcW w:w="402" w:type="pct"/>
                    <w:hideMark/>
                  </w:tcPr>
                  <w:p w14:paraId="08E28434" w14:textId="77777777" w:rsidR="00FE4546" w:rsidRPr="00FE4546" w:rsidRDefault="00FE4546">
                    <w:pPr>
                      <w:pStyle w:val="Bibliography"/>
                      <w:rPr>
                        <w:noProof/>
                        <w:sz w:val="20"/>
                        <w:szCs w:val="20"/>
                      </w:rPr>
                    </w:pPr>
                    <w:r w:rsidRPr="00FE4546">
                      <w:rPr>
                        <w:noProof/>
                        <w:sz w:val="20"/>
                        <w:szCs w:val="20"/>
                      </w:rPr>
                      <w:t xml:space="preserve">[10] </w:t>
                    </w:r>
                  </w:p>
                </w:tc>
                <w:tc>
                  <w:tcPr>
                    <w:tcW w:w="4509" w:type="pct"/>
                    <w:hideMark/>
                  </w:tcPr>
                  <w:p w14:paraId="74F66553" w14:textId="77777777" w:rsidR="00FE4546" w:rsidRPr="00FE4546" w:rsidRDefault="00FE4546">
                    <w:pPr>
                      <w:pStyle w:val="Bibliography"/>
                      <w:rPr>
                        <w:noProof/>
                        <w:sz w:val="20"/>
                        <w:szCs w:val="20"/>
                      </w:rPr>
                    </w:pPr>
                    <w:r w:rsidRPr="00FE4546">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E4546" w:rsidRPr="00FE4546" w14:paraId="0EF91D3D" w14:textId="77777777" w:rsidTr="00D04140">
                <w:trPr>
                  <w:divId w:val="1010763960"/>
                  <w:tblCellSpacing w:w="15" w:type="dxa"/>
                </w:trPr>
                <w:tc>
                  <w:tcPr>
                    <w:tcW w:w="402" w:type="pct"/>
                    <w:hideMark/>
                  </w:tcPr>
                  <w:p w14:paraId="5409C5B4" w14:textId="77777777" w:rsidR="00FE4546" w:rsidRPr="00FE4546" w:rsidRDefault="00FE4546">
                    <w:pPr>
                      <w:pStyle w:val="Bibliography"/>
                      <w:rPr>
                        <w:noProof/>
                        <w:sz w:val="20"/>
                        <w:szCs w:val="20"/>
                      </w:rPr>
                    </w:pPr>
                    <w:r w:rsidRPr="00FE4546">
                      <w:rPr>
                        <w:noProof/>
                        <w:sz w:val="20"/>
                        <w:szCs w:val="20"/>
                      </w:rPr>
                      <w:t xml:space="preserve">[11] </w:t>
                    </w:r>
                  </w:p>
                </w:tc>
                <w:tc>
                  <w:tcPr>
                    <w:tcW w:w="4509" w:type="pct"/>
                    <w:hideMark/>
                  </w:tcPr>
                  <w:p w14:paraId="15F26428" w14:textId="77777777" w:rsidR="00FE4546" w:rsidRPr="00FE4546" w:rsidRDefault="00FE4546">
                    <w:pPr>
                      <w:pStyle w:val="Bibliography"/>
                      <w:rPr>
                        <w:noProof/>
                        <w:sz w:val="20"/>
                        <w:szCs w:val="20"/>
                      </w:rPr>
                    </w:pPr>
                    <w:r w:rsidRPr="00FE4546">
                      <w:rPr>
                        <w:noProof/>
                        <w:sz w:val="20"/>
                        <w:szCs w:val="20"/>
                      </w:rPr>
                      <w:t>C. Jacobs, "The Federalist," 15 08 2020. [Online]. Available: https://thefederalist.com/2020/08/15/how-alex-trebeks-memoir-explains-the-enduring-success-of-jeopardy/ . [Accessed 22 03 2021].</w:t>
                    </w:r>
                  </w:p>
                </w:tc>
              </w:tr>
              <w:tr w:rsidR="00FE4546" w:rsidRPr="00FE4546" w14:paraId="37CB087F" w14:textId="77777777" w:rsidTr="00D04140">
                <w:trPr>
                  <w:divId w:val="1010763960"/>
                  <w:tblCellSpacing w:w="15" w:type="dxa"/>
                </w:trPr>
                <w:tc>
                  <w:tcPr>
                    <w:tcW w:w="402" w:type="pct"/>
                    <w:hideMark/>
                  </w:tcPr>
                  <w:p w14:paraId="05E36450" w14:textId="77777777" w:rsidR="00FE4546" w:rsidRPr="00FE4546" w:rsidRDefault="00FE4546">
                    <w:pPr>
                      <w:pStyle w:val="Bibliography"/>
                      <w:rPr>
                        <w:noProof/>
                        <w:sz w:val="20"/>
                        <w:szCs w:val="20"/>
                      </w:rPr>
                    </w:pPr>
                    <w:r w:rsidRPr="00FE4546">
                      <w:rPr>
                        <w:noProof/>
                        <w:sz w:val="20"/>
                        <w:szCs w:val="20"/>
                      </w:rPr>
                      <w:t xml:space="preserve">[12] </w:t>
                    </w:r>
                  </w:p>
                </w:tc>
                <w:tc>
                  <w:tcPr>
                    <w:tcW w:w="4509" w:type="pct"/>
                    <w:hideMark/>
                  </w:tcPr>
                  <w:p w14:paraId="7F8BF88C" w14:textId="77777777" w:rsidR="00FE4546" w:rsidRPr="00FE4546" w:rsidRDefault="00FE4546">
                    <w:pPr>
                      <w:pStyle w:val="Bibliography"/>
                      <w:rPr>
                        <w:noProof/>
                        <w:sz w:val="20"/>
                        <w:szCs w:val="20"/>
                      </w:rPr>
                    </w:pPr>
                    <w:r w:rsidRPr="00FE4546">
                      <w:rPr>
                        <w:noProof/>
                        <w:sz w:val="20"/>
                        <w:szCs w:val="20"/>
                      </w:rPr>
                      <w:t xml:space="preserve">C. McNear and K. Jennings, Answers in the Form of Questions, New York: Twelve, 2020. </w:t>
                    </w:r>
                  </w:p>
                </w:tc>
              </w:tr>
            </w:tbl>
            <w:p w14:paraId="0311D0E0" w14:textId="77777777" w:rsidR="00FE4546" w:rsidRPr="00FE4546" w:rsidRDefault="00FE4546">
              <w:pPr>
                <w:divId w:val="1010763960"/>
                <w:rPr>
                  <w:noProof/>
                  <w:sz w:val="20"/>
                  <w:szCs w:val="20"/>
                </w:rPr>
              </w:pPr>
            </w:p>
            <w:p w14:paraId="064712B1" w14:textId="69CD843F" w:rsidR="00724CBE" w:rsidRDefault="00724CBE" w:rsidP="00993F45">
              <w:pPr>
                <w:spacing w:line="252" w:lineRule="auto"/>
              </w:pPr>
              <w:r w:rsidRPr="00FE4546">
                <w:rPr>
                  <w:b/>
                  <w:bCs/>
                  <w:noProof/>
                  <w:sz w:val="20"/>
                  <w:szCs w:val="20"/>
                </w:rPr>
                <w:fldChar w:fldCharType="end"/>
              </w:r>
            </w:p>
          </w:sdtContent>
        </w:sdt>
      </w:sdtContent>
    </w:sdt>
    <w:p w14:paraId="286129E0" w14:textId="52983707" w:rsidR="00724CBE" w:rsidRPr="00837E47" w:rsidRDefault="00724CBE" w:rsidP="00FE4546">
      <w:pPr>
        <w:pStyle w:val="References"/>
        <w:numPr>
          <w:ilvl w:val="0"/>
          <w:numId w:val="0"/>
        </w:numPr>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8C37660" w14:textId="44896578" w:rsidR="00C73275" w:rsidRPr="00CD684F" w:rsidRDefault="00C73275" w:rsidP="009F40FB">
      <w:pPr>
        <w:pStyle w:val="FigureCaption"/>
        <w:rPr>
          <w:sz w:val="20"/>
          <w:szCs w:val="20"/>
        </w:rPr>
      </w:pPr>
    </w:p>
    <w:sectPr w:rsidR="00C73275"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5F3E1" w14:textId="77777777" w:rsidR="00B65B36" w:rsidRDefault="00B65B36">
      <w:r>
        <w:separator/>
      </w:r>
    </w:p>
  </w:endnote>
  <w:endnote w:type="continuationSeparator" w:id="0">
    <w:p w14:paraId="2B5AC20B" w14:textId="77777777" w:rsidR="00B65B36" w:rsidRDefault="00B6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le Old Fac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635B2" w14:textId="77777777" w:rsidR="00B65B36" w:rsidRDefault="00B65B36"/>
  </w:footnote>
  <w:footnote w:type="continuationSeparator" w:id="0">
    <w:p w14:paraId="71DE73CA" w14:textId="77777777" w:rsidR="00B65B36" w:rsidRDefault="00B65B36">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6377A"/>
    <w:rsid w:val="00084264"/>
    <w:rsid w:val="000A168B"/>
    <w:rsid w:val="000A6734"/>
    <w:rsid w:val="000B4DC5"/>
    <w:rsid w:val="000B6E40"/>
    <w:rsid w:val="000C6CA1"/>
    <w:rsid w:val="000D2BDE"/>
    <w:rsid w:val="000D7F90"/>
    <w:rsid w:val="00104BB0"/>
    <w:rsid w:val="0010794E"/>
    <w:rsid w:val="00116FCD"/>
    <w:rsid w:val="0013354F"/>
    <w:rsid w:val="00143F2E"/>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B1172"/>
    <w:rsid w:val="003C003B"/>
    <w:rsid w:val="003C3322"/>
    <w:rsid w:val="003C68C2"/>
    <w:rsid w:val="003D4CAE"/>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C64C6"/>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C37BD"/>
    <w:rsid w:val="006C40E7"/>
    <w:rsid w:val="00704128"/>
    <w:rsid w:val="00724CBE"/>
    <w:rsid w:val="00725B45"/>
    <w:rsid w:val="007650CB"/>
    <w:rsid w:val="00780621"/>
    <w:rsid w:val="00793478"/>
    <w:rsid w:val="007A4491"/>
    <w:rsid w:val="007C4336"/>
    <w:rsid w:val="007F7AA6"/>
    <w:rsid w:val="00823624"/>
    <w:rsid w:val="00837E47"/>
    <w:rsid w:val="00841A94"/>
    <w:rsid w:val="008518FE"/>
    <w:rsid w:val="0085659C"/>
    <w:rsid w:val="00872026"/>
    <w:rsid w:val="008759A9"/>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22FCB"/>
    <w:rsid w:val="00A34EFE"/>
    <w:rsid w:val="00A43BA4"/>
    <w:rsid w:val="00A472F1"/>
    <w:rsid w:val="00A5237D"/>
    <w:rsid w:val="00A554A3"/>
    <w:rsid w:val="00A60966"/>
    <w:rsid w:val="00A758EA"/>
    <w:rsid w:val="00A95C50"/>
    <w:rsid w:val="00A96963"/>
    <w:rsid w:val="00AB79A6"/>
    <w:rsid w:val="00AC4850"/>
    <w:rsid w:val="00AC4907"/>
    <w:rsid w:val="00B00EB9"/>
    <w:rsid w:val="00B12FBD"/>
    <w:rsid w:val="00B13D23"/>
    <w:rsid w:val="00B47B59"/>
    <w:rsid w:val="00B5036C"/>
    <w:rsid w:val="00B53F81"/>
    <w:rsid w:val="00B555BA"/>
    <w:rsid w:val="00B56C2B"/>
    <w:rsid w:val="00B65B36"/>
    <w:rsid w:val="00B65BD3"/>
    <w:rsid w:val="00B70469"/>
    <w:rsid w:val="00B72DD8"/>
    <w:rsid w:val="00B72E09"/>
    <w:rsid w:val="00B74060"/>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4140"/>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16B5"/>
    <w:rsid w:val="00E91E35"/>
    <w:rsid w:val="00E92B84"/>
    <w:rsid w:val="00E965C5"/>
    <w:rsid w:val="00E96A3A"/>
    <w:rsid w:val="00E97402"/>
    <w:rsid w:val="00E97B99"/>
    <w:rsid w:val="00EB259E"/>
    <w:rsid w:val="00EB2E9D"/>
    <w:rsid w:val="00EC368D"/>
    <w:rsid w:val="00EE48DA"/>
    <w:rsid w:val="00EE6FFC"/>
    <w:rsid w:val="00EF10AC"/>
    <w:rsid w:val="00EF4701"/>
    <w:rsid w:val="00EF564E"/>
    <w:rsid w:val="00EF607D"/>
    <w:rsid w:val="00F00DD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E4546"/>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118305803">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6350875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4322416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0763960">
      <w:bodyDiv w:val="1"/>
      <w:marLeft w:val="0"/>
      <w:marRight w:val="0"/>
      <w:marTop w:val="0"/>
      <w:marBottom w:val="0"/>
      <w:divBdr>
        <w:top w:val="none" w:sz="0" w:space="0" w:color="auto"/>
        <w:left w:val="none" w:sz="0" w:space="0" w:color="auto"/>
        <w:bottom w:val="none" w:sz="0" w:space="0" w:color="auto"/>
        <w:right w:val="none" w:sz="0" w:space="0" w:color="auto"/>
      </w:divBdr>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443190973">
      <w:bodyDiv w:val="1"/>
      <w:marLeft w:val="0"/>
      <w:marRight w:val="0"/>
      <w:marTop w:val="0"/>
      <w:marBottom w:val="0"/>
      <w:divBdr>
        <w:top w:val="none" w:sz="0" w:space="0" w:color="auto"/>
        <w:left w:val="none" w:sz="0" w:space="0" w:color="auto"/>
        <w:bottom w:val="none" w:sz="0" w:space="0" w:color="auto"/>
        <w:right w:val="none" w:sz="0" w:space="0" w:color="auto"/>
      </w:divBdr>
    </w:div>
    <w:div w:id="1457522399">
      <w:bodyDiv w:val="1"/>
      <w:marLeft w:val="0"/>
      <w:marRight w:val="0"/>
      <w:marTop w:val="0"/>
      <w:marBottom w:val="0"/>
      <w:divBdr>
        <w:top w:val="none" w:sz="0" w:space="0" w:color="auto"/>
        <w:left w:val="none" w:sz="0" w:space="0" w:color="auto"/>
        <w:bottom w:val="none" w:sz="0" w:space="0" w:color="auto"/>
        <w:right w:val="none" w:sz="0" w:space="0" w:color="auto"/>
      </w:divBdr>
    </w:div>
    <w:div w:id="1561012272">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807121738">
      <w:bodyDiv w:val="1"/>
      <w:marLeft w:val="0"/>
      <w:marRight w:val="0"/>
      <w:marTop w:val="0"/>
      <w:marBottom w:val="0"/>
      <w:divBdr>
        <w:top w:val="none" w:sz="0" w:space="0" w:color="auto"/>
        <w:left w:val="none" w:sz="0" w:space="0" w:color="auto"/>
        <w:bottom w:val="none" w:sz="0" w:space="0" w:color="auto"/>
        <w:right w:val="none" w:sz="0" w:space="0" w:color="auto"/>
      </w:divBdr>
    </w:div>
    <w:div w:id="1877425033">
      <w:bodyDiv w:val="1"/>
      <w:marLeft w:val="0"/>
      <w:marRight w:val="0"/>
      <w:marTop w:val="0"/>
      <w:marBottom w:val="0"/>
      <w:divBdr>
        <w:top w:val="none" w:sz="0" w:space="0" w:color="auto"/>
        <w:left w:val="none" w:sz="0" w:space="0" w:color="auto"/>
        <w:bottom w:val="none" w:sz="0" w:space="0" w:color="auto"/>
        <w:right w:val="none" w:sz="0" w:space="0" w:color="auto"/>
      </w:divBdr>
    </w:div>
    <w:div w:id="1888685529">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66080873">
      <w:bodyDiv w:val="1"/>
      <w:marLeft w:val="0"/>
      <w:marRight w:val="0"/>
      <w:marTop w:val="0"/>
      <w:marBottom w:val="0"/>
      <w:divBdr>
        <w:top w:val="none" w:sz="0" w:space="0" w:color="auto"/>
        <w:left w:val="none" w:sz="0" w:space="0" w:color="auto"/>
        <w:bottom w:val="none" w:sz="0" w:space="0" w:color="auto"/>
        <w:right w:val="none" w:sz="0" w:space="0" w:color="auto"/>
      </w:divBdr>
    </w:div>
    <w:div w:id="1969236705">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18216331">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11</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12</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10</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
    <b:Tag>Jeo16</b:Tag>
    <b:SourceType>InternetSite</b:SourceType>
    <b:Guid>{C1C6C888-5860-254E-98B7-382361F127EB}</b:Guid>
    <b:Author>
      <b:Author>
        <b:Corporate>Jeopardy!</b:Corporate>
      </b:Author>
    </b:Author>
    <b:Title>J!Buzz</b:Title>
    <b:URL>https://www.jeopardy.com/jbuzz/behind-scenes/5-jeopardy-rules-every-contestant-should-know</b:URL>
    <b:ProductionCompany>Jeopardy!</b:ProductionCompany>
    <b:Year>2016</b:Year>
    <b:Month>10</b:Month>
    <b:Day>07</b:Day>
    <b:YearAccessed>2021</b:YearAccessed>
    <b:MonthAccessed>03</b:MonthAccessed>
    <b:DayAccessed>29</b:DayAccessed>
    <b:RefOrder>9</b:RefOrder>
  </b:Source>
  <b:Source>
    <b:Tag>Kin03</b:Tag>
    <b:SourceType>InternetSite</b:SourceType>
    <b:Guid>{0712435D-8C77-C542-A6FE-736996A05058}</b:Guid>
    <b:Author>
      <b:Author>
        <b:Corporate>King World Productions, Inc.</b:Corporate>
      </b:Author>
    </b:Author>
    <b:Title>Press Release</b:Title>
    <b:URL>https://web.archive.org/web/20070928190202/http:/www.kingworld.com/PressRelease.aspx?pressReleaseID=126</b:URL>
    <b:ProductionCompany>King World</b:ProductionCompany>
    <b:Year>2003</b:Year>
    <b:Month>09</b:Month>
    <b:Day>08</b:Day>
    <b:YearAccessed>2021</b:YearAccessed>
    <b:MonthAccessed>03</b:MonthAccessed>
    <b:DayAccessed>27</b:DayAccessed>
    <b:RefOrder>8</b:RefOrder>
  </b:Source>
</b:Sources>
</file>

<file path=customXml/itemProps1.xml><?xml version="1.0" encoding="utf-8"?>
<ds:datastoreItem xmlns:ds="http://schemas.openxmlformats.org/officeDocument/2006/customXml" ds:itemID="{520662F8-124A-E540-B3A1-EDD2147E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13327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Megan Ball</cp:lastModifiedBy>
  <cp:revision>8</cp:revision>
  <cp:lastPrinted>2021-03-22T19:22:00Z</cp:lastPrinted>
  <dcterms:created xsi:type="dcterms:W3CDTF">2021-03-29T02:01:00Z</dcterms:created>
  <dcterms:modified xsi:type="dcterms:W3CDTF">2021-03-30T01:25:00Z</dcterms:modified>
</cp:coreProperties>
</file>