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Documento de diseño del sistema</w:t>
      </w:r>
    </w:p>
    <w:p>
      <w:pPr>
        <w:spacing w:after="320"/>
      </w:pPr>
      <w:r>
        <w:rPr>
          <w:i/>
          <w:color w:val="315B78"/>
          <w:sz w:val="22"/>
        </w:rPr>
        <w:t>Arquitectura, datos, UML y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El sistema implementa un panel React/Vite y una aplicación Flutter que consumen FastAPI. PostgreSQL/PostGIS conserva clientes, visitas, croquis y trampas. La IA conversacional está integrada en el backend; la generación automática del croquis y la sincronización offline aún no forman parte del código funcional.</w:t>
      </w:r>
    </w:p>
    <w:p>
      <w:pPr>
        <w:pStyle w:val="Heading1"/>
      </w:pPr>
      <w:r>
        <w:rPr>
          <w:color w:val="000000"/>
        </w:rPr>
        <w:t>1 Arquitectura lógica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Componentes</w:t>
            </w:r>
          </w:p>
        </w:tc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Presentación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React/Vite y Flutter</w:t>
            </w:r>
          </w:p>
        </w:tc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Panel administrativo y operación en terreno.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Aplicación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FastAPI, routers y esquemas Pydantic</w:t>
            </w:r>
          </w:p>
        </w:tc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Autenticación, reglas, validación y contratos.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Persistencia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SQLAlchemy, PostgreSQL y PostGIS</w:t>
            </w:r>
          </w:p>
        </w:tc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Datos transaccionales y coordenadas geográficas.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Integraciones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Twilio Sandbox, OpenAI y mapas opcionales</w:t>
            </w:r>
          </w:p>
        </w:tc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Webhook conversacional implementado; conversación real no acreditada. Google Maps web y fotos privadas verificados en E5; la app Flutter conserva su propia configuración de mapas.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2 Modelo de datos</w:t>
      </w:r>
    </w:p>
    <w:p>
      <w:pPr>
        <w:spacing w:after="120"/>
      </w:pPr>
      <w:r>
        <w:t>Las entidades principales son empresas, usuarios, operadores, clientes, visitas, croquis y dispositivos_trampa; conversaciones y mensajes conservan el contexto de WhatsApp y MessageSid evita duplicados. clientes.ubicacion y visitas.operador_id admiten null. dispositivos_trampa.foto_path almacena el nombre del archivo privado; DeviceResponse expone foto_url relativa o null. Las coordenadas usan GEOGRAPHY(Point, 4326), expuestas como lat/lng. Las visitas se guardan en UTC y se agrupan por día de America/Santiago.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Cardinalidad</w:t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Empresa - Clientes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1 a muchos</w:t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Un cliente pertenece a una empresa.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Cliente - Visitas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1 a muchos</w:t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Las visitas conservan el historial del cliente.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Visita - Croquis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1 a cero o uno por visita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El índice único uq_croquis_visita impide duplicar un croquis de la misma visita; el cliente conserva versiones entre visitas.</w:t>
            </w:r>
            <w:r>
              <w:rPr>
                <w:b w:val="0"/>
                <w:sz w:val="17"/>
              </w:rPr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Croquis - Dispositivos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1 a muchos</w:t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Los dispositivos se retiran lógicamente.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Operador - Visitas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1 a muchos</w:t>
            </w:r>
          </w:p>
        </w:tc>
        <w:tc>
          <w:tcPr>
            <w:tcW w:type="dxa" w:w="47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La asignación de operador es opcional; cuando existe, el operador accede a sus visitas.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Flujo principal</w:t>
      </w:r>
    </w:p>
    <w:p>
      <w:pPr>
        <w:pStyle w:val="ListBullet"/>
        <w:spacing w:after="60"/>
      </w:pPr>
      <w:r>
        <w:t>El usuario administrativo inicia sesión y recibe un token de acceso.</w:t>
      </w:r>
    </w:p>
    <w:p>
      <w:pPr>
        <w:pStyle w:val="ListBullet"/>
        <w:spacing w:after="60"/>
      </w:pPr>
      <w:r>
        <w:t>El panel consulta clientes, operadores, estadísticas y agenda.</w:t>
      </w:r>
    </w:p>
    <w:p>
      <w:pPr>
        <w:pStyle w:val="ListBullet"/>
        <w:spacing w:after="60"/>
      </w:pPr>
      <w:r>
        <w:t>La visita se crea manualmente o desde el agente conversacional.</w:t>
      </w:r>
    </w:p>
    <w:p>
      <w:pPr>
        <w:pStyle w:val="ListBullet"/>
        <w:spacing w:after="60"/>
      </w:pPr>
      <w:r>
        <w:t>El operador consulta su agenda en móvil y abre el croquis.</w:t>
      </w:r>
    </w:p>
    <w:p>
      <w:pPr>
        <w:pStyle w:val="ListBullet"/>
        <w:spacing w:after="60"/>
      </w:pPr>
      <w:r>
        <w:t>El operador valida, mueve o retira dispositivos y registra el resultado de la visita.</w:t>
      </w:r>
    </w:p>
    <w:p>
      <w:pPr>
        <w:pStyle w:val="Heading1"/>
      </w:pPr>
      <w:r>
        <w:rPr>
          <w:color w:val="000000"/>
        </w:rPr>
        <w:t>4 Vista UML textual</w:t>
      </w:r>
    </w:p>
    <w:p>
      <w:pPr>
        <w:spacing w:after="120"/>
      </w:pPr>
      <w:r>
        <w:t>Actores: Administrador/Coordinador, Operador, Cliente y Agente IA. Casos de uso: autenticarse, gestionar cliente, agendar visita, consultar agenda, consultar croquis, validar dispositivo y registrar visita. El Agente IA incluye clasificar intención y proponer horarios; el Operador extiende el flujo con validación final.</w:t>
      </w:r>
    </w:p>
    <w:p>
      <w:pPr>
        <w:pStyle w:val="Heading1"/>
      </w:pPr>
      <w:r>
        <w:rPr>
          <w:color w:val="000000"/>
        </w:rPr>
        <w:t>5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Requisito verificable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JWT, roles y CORS; empresa comprobada en visitas/croquis/fotos y asignación del operador. E4 registra accesos propios 200, ajenos 403 y sin token 401.</w:t>
            </w:r>
            <w:r>
              <w:rPr>
                <w:b w:val="0"/>
                <w:sz w:val="17"/>
              </w:rPr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Trazabilidad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La API cancela visitas y retira trampas lógicamente; los registros de prueba se crean en entornos aislados.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Rendimiento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Script local: p95 &lt; 2 s, 50 solicitudes y 10 concurrentes por operación. PR-01/02/03 aprobaron; no es una garantía de producción.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Disponibilidad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Compose de la raíz define base, backend y web. La app móvil se instala fuera de Docker.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Usabilidad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Las acciones principales del panel son visibles sin navegar por más de dos niveles.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Mantenibilidad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Routers, esquemas, repositorios y clientes se mantienen separados por responsabilidad.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6 Límites del diseño implementado</w:t>
      </w:r>
    </w:p>
    <w:p>
      <w:r>
        <w:t>La propuesta de geocodificación y generación de croquis IA está documentada en origin/pedro (5b47041), sin endpoints implementados en main. No se presenta esa propuesta como entrega operativa.</w:t>
      </w:r>
    </w:p>
    <w:p>
      <w:r>
        <w:t>La clase SQLite local_database.dart es un esqueleto no utilizado por las pantallas. La descarga de agenda, cola de sincronización y resolución de conflictos requieren implementación y pruebas propias.</w:t>
      </w:r>
    </w:p>
    <w:p>
      <w:r>
        <w:t>La seguridad verificada cubre los casos del reporte; no equivale a una auditoría exhaustiva. La aprobación técnica no sustituye la validación funcional del cliente.</w:t>
      </w:r>
    </w:p>
    <w:p>
      <w:pPr>
        <w:pStyle w:val="Heading1"/>
      </w:pPr>
      <w:r>
        <w:t>7 Visor de croquis en el panel web</w:t>
      </w:r>
    </w:p>
    <w:p>
      <w:r>
        <w:t>PANEL-CROQ-01 agrega una consulta a Agenda para administradores y coordinadores. CroquisViewer.jsx solicita GET /croquis/{visita_id} y muestra el croquis existente, incluso en visitas cerradas. Si no existe, muestra 404 como ausencia de croquis; nunca llama a POST para crearlo.</w:t>
      </w:r>
    </w:p>
    <w:p>
      <w:r>
        <w:t>croquis-map.js carga Maps JavaScript API mediante el cargador oficial y dibuja puntos no editables sobre un mapa híbrido. El listado y el mapa comparten selección; las coordenadas inválidas no se sustituyen por ubicaciones inventadas. Retiradas en gris tenue; propuestas IA sin confirmar en amarillo; confirmadas en verde; sin confirmar en azul; revisar en naranja.</w:t>
      </w:r>
    </w:p>
    <w:p>
      <w:r>
        <w:t>requestPhoto admite solamente rutas relativas /dispositivos-trampa/{id}/foto y su versión opcional. Envía el JWT en Authorization, rechaza URLs externas y redirecciones, y acepta JPEG/PNG hasta 5 MB. La imagen se muestra con una URL blob local que se revoca al cambiar de trampa o cerrar. No se envían tokens en URLs ni a Google Maps.</w:t>
      </w:r>
    </w:p>
    <w:p>
      <w:r>
        <w:t>La variable VITE_GOOGLE_MAPS_API_KEY se configura en el .env raíz, ignorado por Git. Vite solo expone variables VITE_; las claves de OpenAI, Twilio y JWT permanecen en el backend. La clave web de Maps es visible en el navegador por diseño y debe restringirse a Maps JavaScript API y a referentes http://localhost:8080/* y http://localhost:5173/*. Un cambio exige reiniciar Vite o reconstruir web en Docker.</w:t>
      </w:r>
    </w:p>
    <w:p>
      <w:r>
        <w:t>La migración migracion_croquis_terreno.sql agrega foto_path y los índices de croquis y códigos de trampas. Las fotos del backend se conservan en uploads_data. Desde el PR #14, fetch_visit incorpora empresa_id y ensure_visit_access compara la empresa para todos los roles antes de comprobar la asignación del operador. Los usuarios web acceden solo a su empresa. Los 30 casos de E4 verifican visitas, croquis y fotos; el frontend no sustituye ese control.</w:t>
      </w:r>
    </w:p>
    <w:p>
      <w:r>
        <w:t>Límites: el panel no agrega, modifica o retira trampas ni carga fotos; no genera planos interiores ni propuestas IA. El mapa real y la selección se verificaron en localhost:5173 con datos sintéticos y foto privada. El rechazo de referente previo se resolvió antes de E5. No se acredita esa prueba en localhost:8080 ni en un despliegue remoto. La aceptación del cliente sigue pendiente.</w:t>
      </w:r>
    </w:p>
    <w:p>
      <w:r>
        <w:t>Evidencias del corte técnico: Verificacion_PR14_2026-10-20.md y Croquis_maps_real_2026-10-20.md, en Fase 2/Evidencias Proyecto/pruebas. Base 7f635f9 con los cambios locales del panel en juan; no se presupone su publicación mediante una PR de Juan.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