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Definition of Done</w:t>
      </w:r>
    </w:p>
    <w:p>
      <w:pPr>
        <w:spacing w:after="320"/>
      </w:pPr>
      <w:r>
        <w:rPr>
          <w:i/>
          <w:color w:val="315B78"/>
          <w:sz w:val="22"/>
        </w:rPr>
        <w:t>Criterios comunes para considerar terminado un incremento</w:t>
      </w:r>
    </w:p>
    <w:tbl>
      <w:tblPr>
        <w:tblStyle w:val="TableGrid"/>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rPr>
          <w:tblHeader/>
        </w:trPr>
        <w:tc>
          <w:tcPr>
            <w:tcW w:type="dxa" w:w="4896"/>
            <w:tcBorders>
              <w:top w:val="single" w:sz="4" w:color="D9E2DD"/>
              <w:left w:val="single" w:sz="4" w:color="D9E2DD"/>
              <w:bottom w:val="single" w:sz="4" w:color="D9E2DD"/>
              <w:right w:val="single" w:sz="4" w:color="D9E2DD"/>
              <w:insideH w:val="single" w:sz="4" w:color="D9E2DD"/>
              <w:insideV w:val="single" w:sz="4" w:color="D9E2DD"/>
            </w:tcBorders>
            <w:vAlign w:val="center"/>
          </w:tcPr>
          <w:p>
            <w:pPr>
              <w:keepNext w:val="0"/>
              <w:keepLines w:val="0"/>
              <w:spacing w:after="40" w:before="40"/>
            </w:pPr>
            <w:r/>
            <w:r>
              <w:rPr>
                <w:b/>
                <w:color w:val="16382F"/>
                <w:sz w:val="18"/>
              </w:rPr>
              <w:t>Proyecto</w:t>
            </w:r>
          </w:p>
        </w:tc>
        <w:tc>
          <w:tcPr>
            <w:tcW w:type="dxa" w:w="4896"/>
            <w:tcBorders>
              <w:top w:val="single" w:sz="4" w:color="D9E2DD"/>
              <w:left w:val="single" w:sz="4" w:color="D9E2DD"/>
              <w:bottom w:val="single" w:sz="4" w:color="D9E2DD"/>
              <w:right w:val="single" w:sz="4" w:color="D9E2DD"/>
              <w:insideH w:val="single" w:sz="4" w:color="D9E2DD"/>
              <w:insideV w:val="single" w:sz="4" w:color="D9E2DD"/>
            </w:tcBorders>
            <w:vAlign w:val="center"/>
          </w:tcPr>
          <w:p>
            <w:pPr>
              <w:keepNext w:val="0"/>
              <w:keepLines w:val="0"/>
              <w:spacing w:after="40" w:before="40"/>
            </w:pPr>
            <w:r/>
            <w:r>
              <w:rPr>
                <w:b w:val="0"/>
                <w:sz w:val="18"/>
              </w:rPr>
              <w:t>Kill Bichos IA</w:t>
            </w:r>
          </w:p>
        </w:tc>
      </w:tr>
      <w:tr>
        <w:trPr/>
        <w:tc>
          <w:tcPr>
            <w:tcW w:type="dxa" w:w="4896"/>
            <w:tcBorders>
              <w:top w:val="single" w:sz="4" w:color="D9E2DD"/>
              <w:left w:val="single" w:sz="4" w:color="D9E2DD"/>
              <w:bottom w:val="single" w:sz="4" w:color="D9E2DD"/>
              <w:right w:val="single" w:sz="4" w:color="D9E2DD"/>
              <w:insideH w:val="single" w:sz="4" w:color="D9E2DD"/>
              <w:insideV w:val="single" w:sz="4" w:color="D9E2DD"/>
            </w:tcBorders>
            <w:vAlign w:val="center"/>
          </w:tcPr>
          <w:p>
            <w:pPr>
              <w:keepNext w:val="0"/>
              <w:keepLines w:val="0"/>
              <w:spacing w:after="40" w:before="40"/>
            </w:pPr>
            <w:r>
              <w:t>Actualización documental</w:t>
            </w:r>
          </w:p>
        </w:tc>
        <w:tc>
          <w:tcPr>
            <w:tcW w:type="dxa" w:w="4896"/>
            <w:tcBorders>
              <w:top w:val="single" w:sz="4" w:color="D9E2DD"/>
              <w:left w:val="single" w:sz="4" w:color="D9E2DD"/>
              <w:bottom w:val="single" w:sz="4" w:color="D9E2DD"/>
              <w:right w:val="single" w:sz="4" w:color="D9E2DD"/>
              <w:insideH w:val="single" w:sz="4" w:color="D9E2DD"/>
              <w:insideV w:val="single" w:sz="4" w:color="D9E2DD"/>
            </w:tcBorders>
            <w:vAlign w:val="center"/>
          </w:tcPr>
          <w:p>
            <w:pPr>
              <w:keepNext w:val="0"/>
              <w:keepLines w:val="0"/>
              <w:spacing w:after="40" w:before="40"/>
            </w:pPr>
            <w:r>
              <w:t>20 de octubre de 2026</w:t>
            </w:r>
          </w:p>
        </w:tc>
      </w:tr>
    </w:tbl>
    <w:p/>
    <w:p>
      <w:pPr>
        <w:spacing w:after="120"/>
      </w:pPr>
      <w:r>
        <w:t>Una historia de usuario o tarea está terminada cuando cumple todos los criterios aplicables de esta lista. La Definition of Done evita que una funcionalidad se considere completa solo porque compila en el computador de quien la desarrolló.</w:t>
      </w:r>
    </w:p>
    <w:p>
      <w:pPr>
        <w:pStyle w:val="Heading1"/>
      </w:pPr>
      <w:r>
        <w:rPr>
          <w:color w:val="000000"/>
        </w:rPr>
        <w:t>1 Criterios funcionales</w:t>
      </w:r>
    </w:p>
    <w:p>
      <w:pPr>
        <w:pStyle w:val="ListBullet"/>
        <w:spacing w:after="60"/>
      </w:pPr>
      <w:r>
        <w:t>La historia implementa el comportamiento descrito y sus criterios de aceptación.</w:t>
      </w:r>
    </w:p>
    <w:p>
      <w:pPr>
        <w:pStyle w:val="ListBullet"/>
        <w:spacing w:after="60"/>
      </w:pPr>
      <w:r>
        <w:t>Los estados válidos y las reglas de negocio están validados.</w:t>
      </w:r>
    </w:p>
    <w:p>
      <w:pPr>
        <w:pStyle w:val="ListBullet"/>
        <w:spacing w:after="60"/>
      </w:pPr>
      <w:r>
        <w:t>Los permisos por rol, empresa y asignación de operador fueron comprobados cuando corresponden.</w:t>
      </w:r>
    </w:p>
    <w:p>
      <w:pPr>
        <w:pStyle w:val="ListBullet"/>
        <w:spacing w:after="60"/>
      </w:pPr>
      <w:r>
        <w:t>Los errores esperables muestran una respuesta comprensible al usuario.</w:t>
      </w:r>
    </w:p>
    <w:p>
      <w:pPr>
        <w:pStyle w:val="Heading1"/>
      </w:pPr>
      <w:r>
        <w:rPr>
          <w:color w:val="000000"/>
        </w:rPr>
        <w:t>2 Criterios técnicos</w:t>
      </w:r>
    </w:p>
    <w:p>
      <w:pPr>
        <w:pStyle w:val="ListBullet"/>
        <w:spacing w:after="60"/>
      </w:pPr>
      <w:r>
        <w:t>El código está integrado en la rama de trabajo y no contiene conflictos.</w:t>
      </w:r>
    </w:p>
    <w:p>
      <w:pPr>
        <w:pStyle w:val="ListBullet"/>
        <w:spacing w:after="60"/>
      </w:pPr>
      <w:r>
        <w:t>Las consultas usan parámetros y respetan el aislamiento por empresa.</w:t>
      </w:r>
    </w:p>
    <w:p>
      <w:pPr>
        <w:pStyle w:val="ListBullet"/>
        <w:spacing w:after="60"/>
      </w:pPr>
      <w:r>
        <w:t>No se agregan secretos ni credenciales reales, cachés o binarios de construcción. Se permiten reportes y capturas con datos sintéticos o debidamente anonimizados.</w:t>
      </w:r>
    </w:p>
    <w:p>
      <w:pPr>
        <w:pStyle w:val="ListBullet"/>
        <w:spacing w:after="60"/>
      </w:pPr>
      <w:r>
        <w:t>La funcionalidad mantiene compatibilidad con Docker y las instrucciones de ejecución.</w:t>
      </w:r>
    </w:p>
    <w:p>
      <w:pPr>
        <w:pStyle w:val="Heading1"/>
      </w:pPr>
      <w:r>
        <w:rPr>
          <w:color w:val="000000"/>
        </w:rPr>
        <w:t>3 Calidad y pruebas</w:t>
      </w:r>
    </w:p>
    <w:tbl>
      <w:tblPr>
        <w:tblStyle w:val="TableGrid"/>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tblHeader/>
        </w:trPr>
        <w:tc>
          <w:tcPr>
            <w:tcW w:type="dxa" w:w="1728"/>
            <w:vAlign w:val="center"/>
            <w:tcBorders>
              <w:top w:val="single" w:sz="4" w:color="D9E2DD"/>
              <w:left w:val="single" w:sz="4" w:color="D9E2DD"/>
              <w:bottom w:val="single" w:sz="4" w:color="D9E2DD"/>
              <w:right w:val="single" w:sz="4" w:color="D9E2DD"/>
              <w:insideH w:val="single" w:sz="4" w:color="D9E2DD"/>
              <w:insideV w:val="single" w:sz="4" w:color="D9E2DD"/>
            </w:tcBorders>
            <w:shd w:fill="16382F"/>
          </w:tcPr>
          <w:p>
            <w:pPr>
              <w:keepNext w:val="0"/>
              <w:keepLines w:val="0"/>
              <w:spacing w:after="40" w:before="40"/>
            </w:pPr>
            <w:r/>
            <w:r>
              <w:rPr>
                <w:b/>
                <w:color w:val="FFFFFF"/>
                <w:sz w:val="17"/>
              </w:rPr>
              <w:t>Área</w:t>
            </w:r>
          </w:p>
        </w:tc>
        <w:tc>
          <w:tcPr>
            <w:tcW w:type="dxa" w:w="4320"/>
            <w:vAlign w:val="center"/>
            <w:tcBorders>
              <w:top w:val="single" w:sz="4" w:color="D9E2DD"/>
              <w:left w:val="single" w:sz="4" w:color="D9E2DD"/>
              <w:bottom w:val="single" w:sz="4" w:color="D9E2DD"/>
              <w:right w:val="single" w:sz="4" w:color="D9E2DD"/>
              <w:insideH w:val="single" w:sz="4" w:color="D9E2DD"/>
              <w:insideV w:val="single" w:sz="4" w:color="D9E2DD"/>
            </w:tcBorders>
            <w:shd w:fill="16382F"/>
          </w:tcPr>
          <w:p>
            <w:pPr>
              <w:keepNext w:val="0"/>
              <w:keepLines w:val="0"/>
              <w:spacing w:after="40" w:before="40"/>
            </w:pPr>
            <w:r/>
            <w:r>
              <w:rPr>
                <w:b/>
                <w:color w:val="FFFFFF"/>
                <w:sz w:val="17"/>
              </w:rPr>
              <w:t>Mínimo requerido</w:t>
            </w:r>
          </w:p>
        </w:tc>
        <w:tc>
          <w:tcPr>
            <w:tcW w:type="dxa" w:w="3456"/>
            <w:vAlign w:val="center"/>
            <w:tcBorders>
              <w:top w:val="single" w:sz="4" w:color="D9E2DD"/>
              <w:left w:val="single" w:sz="4" w:color="D9E2DD"/>
              <w:bottom w:val="single" w:sz="4" w:color="D9E2DD"/>
              <w:right w:val="single" w:sz="4" w:color="D9E2DD"/>
              <w:insideH w:val="single" w:sz="4" w:color="D9E2DD"/>
              <w:insideV w:val="single" w:sz="4" w:color="D9E2DD"/>
            </w:tcBorders>
            <w:shd w:fill="16382F"/>
          </w:tcPr>
          <w:p>
            <w:pPr>
              <w:keepNext w:val="0"/>
              <w:keepLines w:val="0"/>
              <w:spacing w:after="40" w:before="40"/>
            </w:pPr>
            <w:r/>
            <w:r>
              <w:rPr>
                <w:b/>
                <w:color w:val="FFFFFF"/>
                <w:sz w:val="17"/>
              </w:rPr>
              <w:t>Evidencia</w:t>
            </w:r>
          </w:p>
        </w:tc>
      </w:tr>
      <w:tr>
        <w:trPr/>
        <w:tc>
          <w:tcPr>
            <w:tcW w:type="dxa" w:w="1728"/>
            <w:vAlign w:val="center"/>
            <w:tcBorders>
              <w:top w:val="single" w:sz="4" w:color="D9E2DD"/>
              <w:left w:val="single" w:sz="4" w:color="D9E2DD"/>
              <w:bottom w:val="single" w:sz="4" w:color="D9E2DD"/>
              <w:right w:val="single" w:sz="4" w:color="D9E2DD"/>
              <w:insideH w:val="single" w:sz="4" w:color="D9E2DD"/>
              <w:insideV w:val="single" w:sz="4" w:color="D9E2DD"/>
            </w:tcBorders>
          </w:tcPr>
          <w:p>
            <w:pPr>
              <w:keepNext w:val="0"/>
              <w:keepLines w:val="0"/>
              <w:spacing w:after="40" w:before="40"/>
            </w:pPr>
            <w:r/>
            <w:r>
              <w:rPr>
                <w:b w:val="0"/>
                <w:sz w:val="17"/>
              </w:rPr>
              <w:t>Unitarias</w:t>
            </w:r>
          </w:p>
        </w:tc>
        <w:tc>
          <w:tcPr>
            <w:tcW w:type="dxa" w:w="4320"/>
            <w:vAlign w:val="center"/>
            <w:tcBorders>
              <w:top w:val="single" w:sz="4" w:color="D9E2DD"/>
              <w:left w:val="single" w:sz="4" w:color="D9E2DD"/>
              <w:bottom w:val="single" w:sz="4" w:color="D9E2DD"/>
              <w:right w:val="single" w:sz="4" w:color="D9E2DD"/>
              <w:insideH w:val="single" w:sz="4" w:color="D9E2DD"/>
              <w:insideV w:val="single" w:sz="4" w:color="D9E2DD"/>
            </w:tcBorders>
          </w:tcPr>
          <w:p>
            <w:pPr>
              <w:keepNext w:val="0"/>
              <w:keepLines w:val="0"/>
              <w:spacing w:after="40" w:before="40"/>
            </w:pPr>
            <w:r/>
            <w:r>
              <w:rPr>
                <w:b w:val="0"/>
                <w:sz w:val="17"/>
              </w:rPr>
              <w:t>Casos de validación de reglas y transformaciones</w:t>
            </w:r>
          </w:p>
        </w:tc>
        <w:tc>
          <w:tcPr>
            <w:tcW w:type="dxa" w:w="3456"/>
            <w:vAlign w:val="center"/>
            <w:tcBorders>
              <w:top w:val="single" w:sz="4" w:color="D9E2DD"/>
              <w:left w:val="single" w:sz="4" w:color="D9E2DD"/>
              <w:bottom w:val="single" w:sz="4" w:color="D9E2DD"/>
              <w:right w:val="single" w:sz="4" w:color="D9E2DD"/>
              <w:insideH w:val="single" w:sz="4" w:color="D9E2DD"/>
              <w:insideV w:val="single" w:sz="4" w:color="D9E2DD"/>
            </w:tcBorders>
          </w:tcPr>
          <w:p>
            <w:pPr>
              <w:keepNext w:val="0"/>
              <w:keepLines w:val="0"/>
              <w:spacing w:after="40" w:before="40"/>
            </w:pPr>
            <w:r/>
            <w:r>
              <w:rPr>
                <w:b w:val="0"/>
                <w:sz w:val="17"/>
              </w:rPr>
              <w:t>Salida de runner o reporte</w:t>
            </w:r>
          </w:p>
        </w:tc>
      </w:tr>
      <w:tr>
        <w:trPr/>
        <w:tc>
          <w:tcPr>
            <w:tcW w:type="dxa" w:w="1728"/>
            <w:vAlign w:val="center"/>
            <w:tcBorders>
              <w:top w:val="single" w:sz="4" w:color="D9E2DD"/>
              <w:left w:val="single" w:sz="4" w:color="D9E2DD"/>
              <w:bottom w:val="single" w:sz="4" w:color="D9E2DD"/>
              <w:right w:val="single" w:sz="4" w:color="D9E2DD"/>
              <w:insideH w:val="single" w:sz="4" w:color="D9E2DD"/>
              <w:insideV w:val="single" w:sz="4" w:color="D9E2DD"/>
            </w:tcBorders>
            <w:shd w:fill="F1F5F2"/>
          </w:tcPr>
          <w:p>
            <w:pPr>
              <w:keepNext w:val="0"/>
              <w:keepLines w:val="0"/>
              <w:spacing w:after="40" w:before="40"/>
            </w:pPr>
            <w:r/>
            <w:r>
              <w:rPr>
                <w:b w:val="0"/>
                <w:sz w:val="17"/>
              </w:rPr>
              <w:t>Integración</w:t>
            </w:r>
          </w:p>
        </w:tc>
        <w:tc>
          <w:tcPr>
            <w:tcW w:type="dxa" w:w="4320"/>
            <w:vAlign w:val="center"/>
            <w:tcBorders>
              <w:top w:val="single" w:sz="4" w:color="D9E2DD"/>
              <w:left w:val="single" w:sz="4" w:color="D9E2DD"/>
              <w:bottom w:val="single" w:sz="4" w:color="D9E2DD"/>
              <w:right w:val="single" w:sz="4" w:color="D9E2DD"/>
              <w:insideH w:val="single" w:sz="4" w:color="D9E2DD"/>
              <w:insideV w:val="single" w:sz="4" w:color="D9E2DD"/>
            </w:tcBorders>
            <w:shd w:fill="F1F5F2"/>
          </w:tcPr>
          <w:p>
            <w:pPr>
              <w:keepNext w:val="0"/>
              <w:keepLines w:val="0"/>
              <w:spacing w:after="40" w:before="40"/>
            </w:pPr>
            <w:r/>
            <w:r>
              <w:rPr>
                <w:b w:val="0"/>
                <w:sz w:val="17"/>
              </w:rPr>
              <w:t>Endpoint y persistencia con base de datos de prueba</w:t>
            </w:r>
          </w:p>
        </w:tc>
        <w:tc>
          <w:tcPr>
            <w:tcW w:type="dxa" w:w="3456"/>
            <w:vAlign w:val="center"/>
            <w:tcBorders>
              <w:top w:val="single" w:sz="4" w:color="D9E2DD"/>
              <w:left w:val="single" w:sz="4" w:color="D9E2DD"/>
              <w:bottom w:val="single" w:sz="4" w:color="D9E2DD"/>
              <w:right w:val="single" w:sz="4" w:color="D9E2DD"/>
              <w:insideH w:val="single" w:sz="4" w:color="D9E2DD"/>
              <w:insideV w:val="single" w:sz="4" w:color="D9E2DD"/>
            </w:tcBorders>
            <w:shd w:fill="F1F5F2"/>
          </w:tcPr>
          <w:p>
            <w:pPr>
              <w:keepNext w:val="0"/>
              <w:keepLines w:val="0"/>
              <w:spacing w:after="40" w:before="40"/>
            </w:pPr>
            <w:r/>
            <w:r>
              <w:rPr>
                <w:b w:val="0"/>
                <w:sz w:val="17"/>
              </w:rPr>
              <w:t>Request/response o log</w:t>
            </w:r>
          </w:p>
        </w:tc>
      </w:tr>
      <w:tr>
        <w:trPr/>
        <w:tc>
          <w:tcPr>
            <w:tcW w:type="dxa" w:w="1728"/>
            <w:vAlign w:val="center"/>
            <w:tcBorders>
              <w:top w:val="single" w:sz="4" w:color="D9E2DD"/>
              <w:left w:val="single" w:sz="4" w:color="D9E2DD"/>
              <w:bottom w:val="single" w:sz="4" w:color="D9E2DD"/>
              <w:right w:val="single" w:sz="4" w:color="D9E2DD"/>
              <w:insideH w:val="single" w:sz="4" w:color="D9E2DD"/>
              <w:insideV w:val="single" w:sz="4" w:color="D9E2DD"/>
            </w:tcBorders>
          </w:tcPr>
          <w:p>
            <w:pPr>
              <w:keepNext w:val="0"/>
              <w:keepLines w:val="0"/>
              <w:spacing w:after="40" w:before="40"/>
            </w:pPr>
            <w:r/>
            <w:r>
              <w:rPr>
                <w:b w:val="0"/>
                <w:sz w:val="17"/>
              </w:rPr>
              <w:t>Seguridad</w:t>
            </w:r>
          </w:p>
        </w:tc>
        <w:tc>
          <w:tcPr>
            <w:tcW w:type="dxa" w:w="4320"/>
            <w:vAlign w:val="center"/>
            <w:tcBorders>
              <w:top w:val="single" w:sz="4" w:color="D9E2DD"/>
              <w:left w:val="single" w:sz="4" w:color="D9E2DD"/>
              <w:bottom w:val="single" w:sz="4" w:color="D9E2DD"/>
              <w:right w:val="single" w:sz="4" w:color="D9E2DD"/>
              <w:insideH w:val="single" w:sz="4" w:color="D9E2DD"/>
              <w:insideV w:val="single" w:sz="4" w:color="D9E2DD"/>
            </w:tcBorders>
          </w:tcPr>
          <w:p>
            <w:pPr>
              <w:keepNext w:val="0"/>
              <w:keepLines w:val="0"/>
              <w:spacing w:after="40" w:before="40"/>
            </w:pPr>
            <w:r>
              <w:t>Accesos propios, ausencia de token, rol y empresa incorrectos; comprobar ambos sentidos entre empresas.</w:t>
            </w:r>
            <w:r>
              <w:rPr>
                <w:b w:val="0"/>
                <w:sz w:val="17"/>
              </w:rPr>
            </w:r>
          </w:p>
        </w:tc>
        <w:tc>
          <w:tcPr>
            <w:tcW w:type="dxa" w:w="3456"/>
            <w:vAlign w:val="center"/>
            <w:tcBorders>
              <w:top w:val="single" w:sz="4" w:color="D9E2DD"/>
              <w:left w:val="single" w:sz="4" w:color="D9E2DD"/>
              <w:bottom w:val="single" w:sz="4" w:color="D9E2DD"/>
              <w:right w:val="single" w:sz="4" w:color="D9E2DD"/>
              <w:insideH w:val="single" w:sz="4" w:color="D9E2DD"/>
              <w:insideV w:val="single" w:sz="4" w:color="D9E2DD"/>
            </w:tcBorders>
          </w:tcPr>
          <w:p>
            <w:pPr>
              <w:keepNext w:val="0"/>
              <w:keepLines w:val="0"/>
              <w:spacing w:after="40" w:before="40"/>
            </w:pPr>
            <w:r>
              <w:t>Matriz de HTTP 200/401/403; suite de aislamiento de 30 casos en E4.</w:t>
            </w:r>
            <w:r>
              <w:rPr>
                <w:b w:val="0"/>
                <w:sz w:val="17"/>
              </w:rPr>
            </w:r>
          </w:p>
        </w:tc>
      </w:tr>
      <w:tr>
        <w:trPr/>
        <w:tc>
          <w:tcPr>
            <w:tcW w:type="dxa" w:w="1728"/>
            <w:vAlign w:val="center"/>
            <w:tcBorders>
              <w:top w:val="single" w:sz="4" w:color="D9E2DD"/>
              <w:left w:val="single" w:sz="4" w:color="D9E2DD"/>
              <w:bottom w:val="single" w:sz="4" w:color="D9E2DD"/>
              <w:right w:val="single" w:sz="4" w:color="D9E2DD"/>
              <w:insideH w:val="single" w:sz="4" w:color="D9E2DD"/>
              <w:insideV w:val="single" w:sz="4" w:color="D9E2DD"/>
            </w:tcBorders>
            <w:shd w:fill="F1F5F2"/>
          </w:tcPr>
          <w:p>
            <w:pPr>
              <w:keepNext w:val="0"/>
              <w:keepLines w:val="0"/>
              <w:spacing w:after="40" w:before="40"/>
            </w:pPr>
            <w:r/>
            <w:r>
              <w:rPr>
                <w:b w:val="0"/>
                <w:sz w:val="17"/>
              </w:rPr>
              <w:t>Rendimiento</w:t>
            </w:r>
          </w:p>
        </w:tc>
        <w:tc>
          <w:tcPr>
            <w:tcW w:type="dxa" w:w="4320"/>
            <w:vAlign w:val="center"/>
            <w:tcBorders>
              <w:top w:val="single" w:sz="4" w:color="D9E2DD"/>
              <w:left w:val="single" w:sz="4" w:color="D9E2DD"/>
              <w:bottom w:val="single" w:sz="4" w:color="D9E2DD"/>
              <w:right w:val="single" w:sz="4" w:color="D9E2DD"/>
              <w:insideH w:val="single" w:sz="4" w:color="D9E2DD"/>
              <w:insideV w:val="single" w:sz="4" w:color="D9E2DD"/>
            </w:tcBorders>
            <w:shd w:fill="F1F5F2"/>
          </w:tcPr>
          <w:p>
            <w:pPr>
              <w:keepNext w:val="0"/>
              <w:keepLines w:val="0"/>
              <w:spacing w:after="40" w:before="40"/>
            </w:pPr>
            <w:r>
              <w:t>p95 &lt; 2 s y 0 errores, criterio del script local; registrar carga y volumen de datos.</w:t>
            </w:r>
          </w:p>
        </w:tc>
        <w:tc>
          <w:tcPr>
            <w:tcW w:type="dxa" w:w="3456"/>
            <w:vAlign w:val="center"/>
            <w:tcBorders>
              <w:top w:val="single" w:sz="4" w:color="D9E2DD"/>
              <w:left w:val="single" w:sz="4" w:color="D9E2DD"/>
              <w:bottom w:val="single" w:sz="4" w:color="D9E2DD"/>
              <w:right w:val="single" w:sz="4" w:color="D9E2DD"/>
              <w:insideH w:val="single" w:sz="4" w:color="D9E2DD"/>
              <w:insideV w:val="single" w:sz="4" w:color="D9E2DD"/>
            </w:tcBorders>
            <w:shd w:fill="F1F5F2"/>
          </w:tcPr>
          <w:p>
            <w:pPr>
              <w:keepNext w:val="0"/>
              <w:keepLines w:val="0"/>
              <w:spacing w:after="40" w:before="40"/>
            </w:pPr>
            <w:r/>
            <w:r>
              <w:rPr>
                <w:b w:val="0"/>
                <w:sz w:val="17"/>
              </w:rPr>
              <w:t>Medición reproducible</w:t>
            </w:r>
          </w:p>
        </w:tc>
      </w:tr>
      <w:tr>
        <w:trPr/>
        <w:tc>
          <w:tcPr>
            <w:tcW w:type="dxa" w:w="1728"/>
            <w:vAlign w:val="center"/>
            <w:tcBorders>
              <w:top w:val="single" w:sz="4" w:color="D9E2DD"/>
              <w:left w:val="single" w:sz="4" w:color="D9E2DD"/>
              <w:bottom w:val="single" w:sz="4" w:color="D9E2DD"/>
              <w:right w:val="single" w:sz="4" w:color="D9E2DD"/>
              <w:insideH w:val="single" w:sz="4" w:color="D9E2DD"/>
              <w:insideV w:val="single" w:sz="4" w:color="D9E2DD"/>
            </w:tcBorders>
          </w:tcPr>
          <w:p>
            <w:pPr>
              <w:keepNext w:val="0"/>
              <w:keepLines w:val="0"/>
              <w:spacing w:after="40" w:before="40"/>
            </w:pPr>
            <w:r/>
            <w:r>
              <w:rPr>
                <w:b w:val="0"/>
                <w:sz w:val="17"/>
              </w:rPr>
              <w:t>UI</w:t>
            </w:r>
          </w:p>
        </w:tc>
        <w:tc>
          <w:tcPr>
            <w:tcW w:type="dxa" w:w="4320"/>
            <w:vAlign w:val="center"/>
            <w:tcBorders>
              <w:top w:val="single" w:sz="4" w:color="D9E2DD"/>
              <w:left w:val="single" w:sz="4" w:color="D9E2DD"/>
              <w:bottom w:val="single" w:sz="4" w:color="D9E2DD"/>
              <w:right w:val="single" w:sz="4" w:color="D9E2DD"/>
              <w:insideH w:val="single" w:sz="4" w:color="D9E2DD"/>
              <w:insideV w:val="single" w:sz="4" w:color="D9E2DD"/>
            </w:tcBorders>
          </w:tcPr>
          <w:p>
            <w:pPr>
              <w:keepNext w:val="0"/>
              <w:keepLines w:val="0"/>
              <w:spacing w:after="40" w:before="40"/>
            </w:pPr>
            <w:r/>
            <w:r>
              <w:rPr>
                <w:b w:val="0"/>
                <w:sz w:val="17"/>
              </w:rPr>
              <w:t>Flujo navegable sin errores visibles</w:t>
            </w:r>
          </w:p>
        </w:tc>
        <w:tc>
          <w:tcPr>
            <w:tcW w:type="dxa" w:w="3456"/>
            <w:vAlign w:val="center"/>
            <w:tcBorders>
              <w:top w:val="single" w:sz="4" w:color="D9E2DD"/>
              <w:left w:val="single" w:sz="4" w:color="D9E2DD"/>
              <w:bottom w:val="single" w:sz="4" w:color="D9E2DD"/>
              <w:right w:val="single" w:sz="4" w:color="D9E2DD"/>
              <w:insideH w:val="single" w:sz="4" w:color="D9E2DD"/>
              <w:insideV w:val="single" w:sz="4" w:color="D9E2DD"/>
            </w:tcBorders>
          </w:tcPr>
          <w:p>
            <w:pPr>
              <w:keepNext w:val="0"/>
              <w:keepLines w:val="0"/>
              <w:spacing w:after="40" w:before="40"/>
            </w:pPr>
            <w:r/>
            <w:r>
              <w:rPr>
                <w:b w:val="0"/>
                <w:sz w:val="17"/>
              </w:rPr>
              <w:t>Captura o checklist</w:t>
            </w:r>
          </w:p>
        </w:tc>
      </w:tr>
    </w:tbl>
    <w:p>
      <w:pPr>
        <w:spacing w:after="20"/>
      </w:pPr>
    </w:p>
    <w:p>
      <w:pPr>
        <w:pStyle w:val="Heading1"/>
      </w:pPr>
      <w:r>
        <w:rPr>
          <w:color w:val="000000"/>
        </w:rPr>
        <w:t>4 Documentación y aceptación</w:t>
      </w:r>
    </w:p>
    <w:p>
      <w:pPr>
        <w:pStyle w:val="ListBullet"/>
        <w:spacing w:after="60"/>
      </w:pPr>
      <w:r>
        <w:t>La documentación técnica y el README reflejan el comportamiento actual.</w:t>
      </w:r>
    </w:p>
    <w:p>
      <w:pPr>
        <w:pStyle w:val="ListBullet"/>
        <w:spacing w:after="60"/>
      </w:pPr>
      <w:r>
        <w:t>Se registran decisiones o limitaciones conocidas.</w:t>
      </w:r>
    </w:p>
    <w:p>
      <w:pPr>
        <w:pStyle w:val="ListBullet"/>
        <w:spacing w:after="60"/>
      </w:pPr>
      <w:r>
        <w:t>La revisión por otro integrante fue realizada cuando la tarea afecta integración.</w:t>
      </w:r>
    </w:p>
    <w:p>
      <w:pPr>
        <w:pStyle w:val="ListBullet"/>
        <w:spacing w:after="60"/>
      </w:pPr>
      <w:r>
        <w:t>La aceptación del cliente se acredita con el acta validada por su representante; la aprobación técnica del equipo no sustituye esa aceptación.</w:t>
      </w:r>
    </w:p>
    <w:p>
      <w:pPr>
        <w:pStyle w:val="Heading1"/>
      </w:pPr>
      <w:r>
        <w:rPr>
          <w:color w:val="000000"/>
        </w:rPr>
        <w:t>5 Excepciones</w:t>
      </w:r>
    </w:p>
    <w:p>
      <w:pPr>
        <w:spacing w:after="120"/>
      </w:pPr>
      <w:r>
        <w:t>Una excepción debe quedar escrita en la tarjeta o acta del sprint, indicando qué falta, por qué se acepta temporalmente y quién es responsable de corregirlo.</w:t>
      </w:r>
    </w:p>
    <w:p>
      <w:pPr>
        <w:pStyle w:val="Heading1"/>
      </w:pPr>
      <w:r>
        <w:rPr>
          <w:color w:val="000000"/>
        </w:rPr>
        <w:t>6 Evidencias disponibles</w:t>
      </w:r>
    </w:p>
    <w:p>
      <w:r>
        <w:t>El corte del 20/10/2026 registra 205 pruebas aprobadas: 107 backend y 98 frontend, sin fallas ni omisiones. Las 30 de aislamiento están incluidas en las 107, no se suman otra vez. E4 verifica permisos y regresión; E5 acredita el mapa real en localhost:5173. Los reportes de 32 casos del 06/10 y 51 del 09/10 se conservan como ejecuciones históricas, con sus alcances de seguridad y rendimiento local.</w:t>
      </w:r>
    </w:p>
    <w:p>
      <w:r>
        <w:t>La DoD se aplica a cada incremento. No se extiende la aprobación del panel al generador de croquis, al offline móvil o a conversaciones reales de WhatsApp sin evidencia específica.</w:t>
      </w:r>
    </w:p>
    <w:p>
      <w:r>
        <w:t>Evidencias actuales: Verificacion_PR14_2026-10-20.md y Croquis_maps_real_2026-10-20.md, en Fase 2/Evidencias Proyecto/pruebas. La aprobación de pruebas no implica que ya se realizó una revisión de maquetación ni que el cliente haya firmado.</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1877C"/>
        <w:sz w:val="16"/>
      </w:rPr>
      <w:t>Kill Bichos IA | Fase 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2026-10-13T12:00:00Z</dcterms:modified>
  <cp:category/>
</cp:coreProperties>
</file>