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Retrospectivas de sprint</w:t>
      </w:r>
    </w:p>
    <w:p>
      <w:pPr>
        <w:spacing w:after="320"/>
      </w:pPr>
      <w:r>
        <w:rPr>
          <w:i/>
          <w:color w:val="315B78"/>
          <w:sz w:val="22"/>
        </w:rPr>
        <w:t>Observaciones técnicas y propuestas de mejora para revisión del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16382F"/>
                <w:sz w:val="18"/>
              </w:rPr>
              <w:t>Proyecto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8"/>
              </w:rPr>
              <w:t>Kill Bichos IA</w:t>
            </w:r>
          </w:p>
        </w:tc>
      </w:tr>
      <w:tr>
        <w:trPr/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>
              <w:t>Actualización documental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>
              <w:t>20 de octubre de 2026</w:t>
            </w:r>
          </w:p>
        </w:tc>
      </w:tr>
    </w:tbl>
    <w:p/>
    <w:p>
      <w:pPr>
        <w:spacing w:after="120"/>
      </w:pPr>
      <w:r>
        <w:t>El equipo debe realizar y registrar sus retrospectivas de sprint. Las observaciones de este documento provienen del código y las pruebas disponibles; no reemplazan un acta de reunión ni acreditan acuerdos adoptados.</w:t>
      </w:r>
    </w:p>
    <w:p>
      <w:pPr>
        <w:pStyle w:val="Heading1"/>
      </w:pPr>
      <w:r>
        <w:rPr>
          <w:color w:val="000000"/>
        </w:rPr>
        <w:t>1 Formato de retrospectiva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Mantener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Mejorar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Dejar de hacer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Acción comprometida</w:t>
            </w:r>
          </w:p>
        </w:tc>
      </w:tr>
      <w:tr>
        <w:trPr/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Prácticas que ayudaron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Problemas que se pueden corregir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Hábitos que generan retrabajo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Acción, responsable y fecha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2 Observaciones sustentadas en 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Bloque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Mantener</w:t>
            </w:r>
          </w:p>
        </w:tc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Mejorar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Acción propuesta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Responsable de revisión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S1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Vinculación con la empresa</w:t>
            </w:r>
          </w:p>
        </w:tc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Formalización de la aceptación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Coordinar sesión y firma del acta con Rodrigo Quiroga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Juan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S2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Modelo PostgreSQL/PostGIS</w:t>
            </w:r>
          </w:p>
        </w:tc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Separar datos de trabajo y de prueba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Conservar pruebas aisladas y documentar migraciones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Javier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S3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Login y roles verificados</w:t>
            </w:r>
          </w:p>
        </w:tc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Mantener vigentes las instrucciones de Vite, Maps y Docker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Usar .env raíz para Docker y Vite; backend/.env solo para uvicorn manual. Mantener restricciones de la clave web.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Juan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S4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Fechas de Chile con regresión</w:t>
            </w:r>
          </w:p>
        </w:tc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Evitar zonas horarias implícitas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Mantener pruebas verano, invierno y medianoche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Juan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S5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Pruebas de clientes nulos</w:t>
            </w:r>
          </w:p>
        </w:tc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Conservar cobertura del croquis al cancelar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Mantener el caso PostGIS VIS-002, ya aprobado en E4, que conserva visita, croquis y trampas.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Equipo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S6-S9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API de técnico y trampas probada</w:t>
            </w:r>
          </w:p>
        </w:tc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Separar código y diseños de IA/offline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Validar Sandbox y planificar IA del croquis y sincronización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Pedro y Javier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S10-S11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205/205 en E4 y Maps real en E5</w:t>
            </w:r>
          </w:p>
        </w:tc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Aceptación formal del cliente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Presentar evidencias y registrar alcance aceptado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Equipo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Integración del visor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La regresión detectó 8 accesos ajenos antes del PR #14 y los 30 casos aprobaron después.</w:t>
            </w:r>
          </w:p>
        </w:tc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Probar permisos en la API y referentes web, además de la interfaz.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Conservar casos negativos y reportes anteriores; repetirlos después de cambios de autenticación o mapas.</w:t>
            </w:r>
          </w:p>
        </w:tc>
        <w:tc>
          <w:tcPr>
            <w:tcW w:type="dxa" w:w="144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Juan y Javier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3 Regla de seguimiento</w:t>
      </w:r>
    </w:p>
    <w:p>
      <w:pPr>
        <w:spacing w:after="120"/>
      </w:pPr>
      <w:r>
        <w:t>Cada acuerdo debe reaparecer en la siguiente retrospectiva con estado: cumplido, en curso o pendiente. Un acuerdo pendiente debe conservar su motivo y nueva fecha, evitando que se pierda entre sprints.</w:t>
      </w:r>
    </w:p>
    <w:p>
      <w:r>
        <w:t>Observación técnica del 20/10: el rechazo de referente de Google se resolvió y el mapa real cargó en localhost:5173. E4 registra 205 pruebas aprobadas tras integrar PR #14. Estas observaciones no se presentan como acuerdos de una reunión no documentada.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77C"/>
        <w:sz w:val="16"/>
      </w:rPr>
      <w:t>Kill Bichos IA |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2026-10-13T12:00:00Z</dcterms:modified>
  <cp:category/>
</cp:coreProperties>
</file>