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Documento de inicio de Fase 2</w:t>
      </w:r>
    </w:p>
    <w:p>
      <w:pPr>
        <w:spacing w:after="320"/>
      </w:pPr>
      <w:r>
        <w:rPr>
          <w:i/>
          <w:color w:val="315B78"/>
          <w:sz w:val="22"/>
        </w:rPr>
        <w:t>Alcance del MVP y estado técnico al 20 de octubre de 2026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Este documento establece el marco operativo para desarrollar y validar el MVP de Kill Bichos IA durante la Fase 2. Complementa la definición del proyecto de Fase 1 y fija qué se construirá, qué queda fuera y bajo qué restricciones se trabajará.</w:t>
      </w:r>
    </w:p>
    <w:p>
      <w:pPr>
        <w:pStyle w:val="Heading1"/>
      </w:pPr>
      <w:r>
        <w:rPr>
          <w:color w:val="000000"/>
        </w:rPr>
        <w:t>1 Propósito y contexto</w:t>
      </w:r>
    </w:p>
    <w:p>
      <w:pPr>
        <w:spacing w:after="120"/>
      </w:pPr>
      <w:r>
        <w:t>Kill Bichos IA busca digitalizar el contacto con clientes, el agendamiento de visitas y el apoyo al trabajo en terreno mediante un panel web, un backend central y una aplicación móvil. El MVP prioriza un flujo demostrable de extremo a extremo, con trazabilidad y validación humana.</w:t>
      </w:r>
    </w:p>
    <w:p>
      <w:pPr>
        <w:pStyle w:val="Heading1"/>
      </w:pPr>
      <w:r>
        <w:rPr>
          <w:color w:val="000000"/>
        </w:rPr>
        <w:t>2 Alcance del MVP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Incluye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Resultado y estado comprobable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Autenticación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JWT y roles administrativos/operador implementados; login y restricciones verificados en el reporte de 32 casos.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Panel web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Agenda por fecha chilena y operador, edición y reprogramación, clientes y visor de croquis con fotos privadas. Regresión actual: 98 pruebas frontend y 107 backend; evidencia E4.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Agendamiento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Creación y edición manual con o sin operador; horario configurado, validación de conflictos, almacenamiento UTC y visualización en Chile. Cancelar conserva visita, croquis y trampas.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Aplicación móvil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Código de agenda, detalle, croquis e historial disponible; API técnica probada. La validación del cliente en el teléfono no está registrada.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Croquis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Gestión de trampas en terreno y fotos disponibles en la app; panel de solo lectura con mapa real verificado en localhost:5173. Generación por IA, geocodificación y planos interiores automáticos no entregados.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WhatsApp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Webhook y agente incluidos en main. Rechazo sin firma probado; no existe reporte de conversación real de Sandbox en las evidencias revisadas.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Persistencia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PostgreSQL/PostGIS; integración real del panel en base aislada. El modo offline móvil conserva solo un esqueleto SQLite.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3 Fuera del MVP</w:t>
      </w:r>
    </w:p>
    <w:p>
      <w:pPr>
        <w:pStyle w:val="ListBullet"/>
        <w:spacing w:after="60"/>
      </w:pPr>
      <w:r>
        <w:t>Integración productiva con pagos, facturación electrónica o ERP.</w:t>
      </w:r>
    </w:p>
    <w:p>
      <w:pPr>
        <w:pStyle w:val="ListBullet"/>
        <w:spacing w:after="60"/>
      </w:pPr>
      <w:r>
        <w:t>Optimización automática de rutas entre múltiples visitas.</w:t>
      </w:r>
    </w:p>
    <w:p>
      <w:pPr>
        <w:pStyle w:val="ListBullet"/>
        <w:spacing w:after="60"/>
      </w:pPr>
      <w:r>
        <w:t>Soporte multiempresa administrable desde una consola global.</w:t>
      </w:r>
    </w:p>
    <w:p>
      <w:pPr>
        <w:pStyle w:val="ListBullet"/>
        <w:spacing w:after="60"/>
      </w:pPr>
      <w:r>
        <w:t>Entrenamiento de un modelo propio de inteligencia artificial.</w:t>
      </w:r>
    </w:p>
    <w:p>
      <w:pPr>
        <w:pStyle w:val="ListBullet"/>
        <w:spacing w:after="60"/>
      </w:pPr>
      <w:r>
        <w:t>Eliminación física de visitas o croquis que deban conservar trazabilidad.</w:t>
      </w:r>
    </w:p>
    <w:p>
      <w:pPr>
        <w:pStyle w:val="Heading1"/>
      </w:pPr>
      <w:r>
        <w:rPr>
          <w:color w:val="000000"/>
        </w:rPr>
        <w:t>4 Restricciones y supuestos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Tiempo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Plan original de 11 sprints semanales; la numeración no acredita fechas ni ejecución de reuniones.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Tecnología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React/Vite, FastAPI, PostgreSQL/PostGIS y Flutter.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Datos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Se trabaja con datos de demostración; los datos reales requieren autorización del cliente.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JWT y roles, CORS restringido y permisos por empresa en visitas, croquis y fotos. Los 30 casos de aislamiento de E4 aprobaron tras integrar el PR #14.</w:t>
            </w:r>
            <w:r>
              <w:rPr>
                <w:b w:val="0"/>
                <w:sz w:val="17"/>
              </w:rPr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Validación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El operador conserva la decisión final sobre los puntos del croquis.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5 Criterios de éxito</w:t>
      </w:r>
    </w:p>
    <w:p>
      <w:pPr>
        <w:pStyle w:val="ListBullet"/>
        <w:spacing w:after="60"/>
      </w:pPr>
      <w:r>
        <w:t>Un usuario administrativo inicia sesión y consulta una agenda filtrada.</w:t>
      </w:r>
    </w:p>
    <w:p>
      <w:pPr>
        <w:pStyle w:val="ListBullet"/>
        <w:spacing w:after="60"/>
      </w:pPr>
      <w:r>
        <w:t>Se puede crear una visita con cliente y un operador válido, o sin asignar; la API conserva operador_id como null cuando corresponde.</w:t>
      </w:r>
    </w:p>
    <w:p>
      <w:pPr>
        <w:pStyle w:val="ListBullet"/>
        <w:spacing w:after="60"/>
      </w:pPr>
      <w:r>
        <w:t>El operador puede consultar su agenda, abrir el croquis y registrar una visita.</w:t>
      </w:r>
    </w:p>
    <w:p>
      <w:pPr>
        <w:pStyle w:val="ListBullet"/>
        <w:spacing w:after="60"/>
      </w:pPr>
      <w:r>
        <w:t>Los cambios relevantes quedan persistidos y son verificables mediante pruebas.</w:t>
      </w:r>
    </w:p>
    <w:p>
      <w:pPr>
        <w:pStyle w:val="ListBullet"/>
        <w:spacing w:after="60"/>
      </w:pPr>
      <w:r>
        <w:t>El cliente valida el flujo principal en escenarios acordados.</w:t>
      </w:r>
    </w:p>
    <w:p>
      <w:pPr>
        <w:pStyle w:val="Heading1"/>
      </w:pPr>
      <w:r>
        <w:rPr>
          <w:color w:val="000000"/>
        </w:rPr>
        <w:t>6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Responsabilidad principal</w:t>
            </w:r>
          </w:p>
        </w:tc>
      </w:tr>
      <w:tr>
        <w:trPr/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 Bórquez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Panel, agendamiento, documentación de pruebas.</w:t>
            </w:r>
          </w:p>
        </w:tc>
      </w:tr>
      <w:tr>
        <w:trPr/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Javier Lara Bustos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Datos, arquitectura y aplicación móvil.</w:t>
            </w:r>
          </w:p>
        </w:tc>
      </w:tr>
      <w:tr>
        <w:trPr/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Pedro Vergiu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Agente conversacional, integración y validación final.</w:t>
            </w:r>
          </w:p>
        </w:tc>
      </w:tr>
      <w:tr>
        <w:trPr/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Validar proceso, datos, criterios operativos y aceptación.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7 Evidencias y aceptación</w:t>
      </w:r>
    </w:p>
    <w:p>
      <w:r>
        <w:t>El corte técnico del 20/10/2026 registra 205 pruebas aprobadas: 107 backend y 98 frontend, sin fallas ni omisiones. Las 30 de aislamiento están incluidas en las 107, no se suman otra vez. Se verificó además el mapa real con datos sintéticos. E4: Verificacion_PR14_2026-10-20.md; E5: Croquis_maps_real_2026-10-20.md, en la carpeta pruebas. Se conservan las ejecuciones del 6 y 9 de octubre como historial; ninguna sustituye la aceptación del cliente.</w:t>
      </w:r>
    </w:p>
    <w:p>
      <w:r>
        <w:t>Rodrigo Quiroga fue identificado por Juan como representante para la validación. Su cargo, la fecha de la sesión, los resultados y la firma deben registrarse en el acta de validación.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