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inicio de Fase 2</w:t>
      </w:r>
    </w:p>
    <w:p>
      <w:pPr>
        <w:spacing w:after="320"/>
      </w:pPr>
      <w:r>
        <w:rPr>
          <w:i/>
          <w:color w:val="315B78"/>
          <w:sz w:val="22"/>
        </w:rPr>
        <w:t>Alcance, MVP, restricciones y criterios de éxito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6382F"/>
                <w:sz w:val="18"/>
              </w:rPr>
              <w:t>Proyecto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Kill Bichos IA</w:t>
            </w:r>
          </w:p>
        </w:tc>
      </w:tr>
      <w:tr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6382F"/>
                <w:sz w:val="18"/>
              </w:rPr>
              <w:t>Fecha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4 de octubre de 2026</w:t>
            </w:r>
          </w:p>
        </w:tc>
      </w:tr>
    </w:tbl>
    <w:p/>
    <w:p>
      <w:pPr>
        <w:spacing w:after="120"/>
      </w:pPr>
      <w:r>
        <w:t>Este documento establece el marco operativo para desarrollar y validar el MVP de Kill Bichos IA durante la Fase 2. Complementa la definición del proyecto de Fase 1 y fija qué se construirá, qué queda fuera y bajo qué restricciones se trabajará.</w:t>
      </w:r>
    </w:p>
    <w:p>
      <w:pPr>
        <w:pStyle w:val="Heading1"/>
      </w:pPr>
      <w:r>
        <w:t>1 Propósito y contexto</w:t>
      </w:r>
    </w:p>
    <w:p>
      <w:pPr>
        <w:spacing w:after="120"/>
      </w:pPr>
      <w:r>
        <w:t>Kill Bichos IA busca digitalizar el contacto con clientes, el agendamiento de visitas y el apoyo al trabajo en terreno mediante un panel web, un backend central y una aplicación móvil. El MVP prioriza un flujo demostrable de extremo a extremo, con trazabilidad y validación humana.</w:t>
      </w:r>
    </w:p>
    <w:p>
      <w:pPr>
        <w:pStyle w:val="Heading1"/>
      </w:pPr>
      <w:r>
        <w:t>2 Alcance del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Incluye</w:t>
            </w:r>
          </w:p>
        </w:tc>
        <w:tc>
          <w:tcPr>
            <w:tcW w:type="dxa" w:w="74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Autenticación</w:t>
            </w:r>
          </w:p>
        </w:tc>
        <w:tc>
          <w:tcPr>
            <w:tcW w:type="dxa" w:w="74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Usuarios administrativos y operadores con permisos diferenciados.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Panel web</w:t>
            </w:r>
          </w:p>
        </w:tc>
        <w:tc>
          <w:tcPr>
            <w:tcW w:type="dxa" w:w="74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Agenda por fecha y operador, estadísticas y gestión de clientes.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Agendamiento</w:t>
            </w:r>
          </w:p>
        </w:tc>
        <w:tc>
          <w:tcPr>
            <w:tcW w:type="dxa" w:w="74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Creación manual de visitas y actualización de su estado.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Aplicación móvil</w:t>
            </w:r>
          </w:p>
        </w:tc>
        <w:tc>
          <w:tcPr>
            <w:tcW w:type="dxa" w:w="74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Agenda diaria, detalle de visita, croquis y registro de visita.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Croquis</w:t>
            </w:r>
          </w:p>
        </w:tc>
        <w:tc>
          <w:tcPr>
            <w:tcW w:type="dxa" w:w="74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Visualización y ajuste de dispositivos con validación del operador.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Persistencia</w:t>
            </w:r>
          </w:p>
        </w:tc>
        <w:tc>
          <w:tcPr>
            <w:tcW w:type="dxa" w:w="74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PostgreSQL/PostGIS con historial de visitas y dispositivos.</w:t>
            </w:r>
          </w:p>
        </w:tc>
      </w:tr>
    </w:tbl>
    <w:p>
      <w:pPr>
        <w:spacing w:after="20"/>
      </w:pPr>
    </w:p>
    <w:p>
      <w:pPr>
        <w:pStyle w:val="Heading1"/>
      </w:pPr>
      <w:r>
        <w:t>3 Fuera del MVP</w:t>
      </w:r>
    </w:p>
    <w:p>
      <w:pPr>
        <w:pStyle w:val="ListBullet"/>
        <w:spacing w:after="60"/>
      </w:pPr>
      <w:r>
        <w:t>Integración productiva con pagos, facturación electrónica o ERP.</w:t>
      </w:r>
    </w:p>
    <w:p>
      <w:pPr>
        <w:pStyle w:val="ListBullet"/>
        <w:spacing w:after="60"/>
      </w:pPr>
      <w:r>
        <w:t>Optimización automática de rutas entre múltiples visitas.</w:t>
      </w:r>
    </w:p>
    <w:p>
      <w:pPr>
        <w:pStyle w:val="ListBullet"/>
        <w:spacing w:after="60"/>
      </w:pPr>
      <w:r>
        <w:t>Soporte multiempresa administrable desde una consola global.</w:t>
      </w:r>
    </w:p>
    <w:p>
      <w:pPr>
        <w:pStyle w:val="ListBullet"/>
        <w:spacing w:after="60"/>
      </w:pPr>
      <w:r>
        <w:t>Entrenamiento de un modelo propio de inteligencia artificial.</w:t>
      </w:r>
    </w:p>
    <w:p>
      <w:pPr>
        <w:pStyle w:val="ListBullet"/>
        <w:spacing w:after="60"/>
      </w:pPr>
      <w:r>
        <w:t>Eliminación física de visitas o croquis que deban conservar trazabilidad.</w:t>
      </w:r>
    </w:p>
    <w:p>
      <w:pPr>
        <w:pStyle w:val="Heading1"/>
      </w:pPr>
      <w:r>
        <w:t>4 Restricciones y supuestos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72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82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Definición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Tiempo</w:t>
            </w:r>
          </w:p>
        </w:tc>
        <w:tc>
          <w:tcPr>
            <w:tcW w:type="dxa" w:w="82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La Fase 2 se ejecuta en 11 semanas, con sprints semanales.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Tecnología</w:t>
            </w:r>
          </w:p>
        </w:tc>
        <w:tc>
          <w:tcPr>
            <w:tcW w:type="dxa" w:w="82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React/Vite, FastAPI, PostgreSQL/PostGIS y Flutter.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Datos</w:t>
            </w:r>
          </w:p>
        </w:tc>
        <w:tc>
          <w:tcPr>
            <w:tcW w:type="dxa" w:w="82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Se trabaja con datos de demostración; los datos reales requieren autorización del cliente.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Seguridad</w:t>
            </w:r>
          </w:p>
        </w:tc>
        <w:tc>
          <w:tcPr>
            <w:tcW w:type="dxa" w:w="82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Autenticación, roles, CORS restringido y mínima exposición de datos en móvil.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Validación</w:t>
            </w:r>
          </w:p>
        </w:tc>
        <w:tc>
          <w:tcPr>
            <w:tcW w:type="dxa" w:w="820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El operador conserva la decisión final sobre los puntos del croquis.</w:t>
            </w:r>
          </w:p>
        </w:tc>
      </w:tr>
    </w:tbl>
    <w:p>
      <w:pPr>
        <w:spacing w:after="20"/>
      </w:pPr>
    </w:p>
    <w:p>
      <w:pPr>
        <w:pStyle w:val="Heading1"/>
      </w:pPr>
      <w:r>
        <w:t>5 Criterios de éxito</w:t>
      </w:r>
    </w:p>
    <w:p>
      <w:pPr>
        <w:pStyle w:val="ListBullet"/>
        <w:spacing w:after="60"/>
      </w:pPr>
      <w:r>
        <w:t>Un usuario administrativo inicia sesión y consulta una agenda filtrada.</w:t>
      </w:r>
    </w:p>
    <w:p>
      <w:pPr>
        <w:pStyle w:val="ListBullet"/>
        <w:spacing w:after="60"/>
      </w:pPr>
      <w:r>
        <w:t>Se puede crear una visita para un cliente y operador sin perder la trazabilidad.</w:t>
      </w:r>
    </w:p>
    <w:p>
      <w:pPr>
        <w:pStyle w:val="ListBullet"/>
        <w:spacing w:after="60"/>
      </w:pPr>
      <w:r>
        <w:t>El operador puede consultar su agenda, abrir el croquis y registrar una visita.</w:t>
      </w:r>
    </w:p>
    <w:p>
      <w:pPr>
        <w:pStyle w:val="ListBullet"/>
        <w:spacing w:after="60"/>
      </w:pPr>
      <w:r>
        <w:t>Los cambios relevantes quedan persistidos y son verificables mediante pruebas.</w:t>
      </w:r>
    </w:p>
    <w:p>
      <w:pPr>
        <w:pStyle w:val="ListBullet"/>
        <w:spacing w:after="60"/>
      </w:pPr>
      <w:r>
        <w:t>El cliente valida el flujo principal en escenarios acordados.</w:t>
      </w:r>
    </w:p>
    <w:p>
      <w:pPr>
        <w:pStyle w:val="Heading1"/>
      </w:pPr>
      <w:r>
        <w:t>6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76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Responsabilidad principal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Juan Bórquez</w:t>
            </w:r>
          </w:p>
        </w:tc>
        <w:tc>
          <w:tcPr>
            <w:tcW w:type="dxa" w:w="76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Panel web, agendamiento y coordinación de requisitos.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Javier Lara Bustos</w:t>
            </w:r>
          </w:p>
        </w:tc>
        <w:tc>
          <w:tcPr>
            <w:tcW w:type="dxa" w:w="76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Datos, arquitectura y aplicación móvil.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Pedro Vergiu</w:t>
            </w:r>
          </w:p>
        </w:tc>
        <w:tc>
          <w:tcPr>
            <w:tcW w:type="dxa" w:w="76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Agente conversacional, integración y validación final.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Cliente</w:t>
            </w:r>
          </w:p>
        </w:tc>
        <w:tc>
          <w:tcPr>
            <w:tcW w:type="dxa" w:w="76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Validar proceso, datos, criterios operativos y aceptación.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77C"/>
        <w:sz w:val="16"/>
      </w:rPr>
      <w:t>Kill Bichos IA | Fase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