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Definition of Done</w:t>
      </w:r>
    </w:p>
    <w:p>
      <w:pPr>
        <w:spacing w:after="320"/>
      </w:pPr>
      <w:r>
        <w:rPr>
          <w:i/>
          <w:color w:val="315B78"/>
          <w:sz w:val="22"/>
        </w:rPr>
        <w:t>Criterios comunes para considerar terminado un incremento</w:t>
      </w:r>
    </w:p>
    <w:tbl>
      <w:tblPr>
        <w:tblStyle w:val="TableGrid"/>
        <w:tblW w:type="auto" w:w="0"/>
        <w:tblLook w:firstColumn="1" w:firstRow="1" w:lastColumn="0" w:lastRow="0" w:noHBand="0" w:noVBand="1" w:val="04A0"/>
      </w:tblPr>
      <w:tblGrid>
        <w:gridCol w:w="5040"/>
        <w:gridCol w:w="5040"/>
      </w:tblGrid>
      <w:tr>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spacing w:after="40" w:before="40"/>
            </w:pPr>
            <w:r/>
            <w:r>
              <w:rPr>
                <w:b/>
                <w:color w:val="16382F"/>
                <w:sz w:val="18"/>
              </w:rPr>
              <w:t>Proyecto</w:t>
            </w:r>
          </w:p>
        </w:tc>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spacing w:after="40" w:before="40"/>
            </w:pPr>
            <w:r/>
            <w:r>
              <w:rPr>
                <w:b w:val="0"/>
                <w:sz w:val="18"/>
              </w:rPr>
              <w:t>Kill Bichos IA</w:t>
            </w:r>
          </w:p>
        </w:tc>
      </w:tr>
      <w:tr>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spacing w:after="40" w:before="40"/>
            </w:pPr>
            <w:r/>
            <w:r>
              <w:rPr>
                <w:b/>
                <w:color w:val="16382F"/>
                <w:sz w:val="18"/>
              </w:rPr>
              <w:t>Fecha</w:t>
            </w:r>
          </w:p>
        </w:tc>
        <w:tc>
          <w:tcPr>
            <w:tcW w:type="dxa" w:w="4896"/>
            <w:tcBorders>
              <w:top w:val="single" w:sz="4" w:color="D9E2DD"/>
              <w:left w:val="single" w:sz="4" w:color="D9E2DD"/>
              <w:bottom w:val="single" w:sz="4" w:color="D9E2DD"/>
              <w:right w:val="single" w:sz="4" w:color="D9E2DD"/>
              <w:insideH w:val="single" w:sz="4" w:color="D9E2DD"/>
              <w:insideV w:val="single" w:sz="4" w:color="D9E2DD"/>
            </w:tcBorders>
            <w:vAlign w:val="center"/>
          </w:tcPr>
          <w:p>
            <w:pPr>
              <w:spacing w:after="40" w:before="40"/>
            </w:pPr>
            <w:r/>
            <w:r>
              <w:rPr>
                <w:b w:val="0"/>
                <w:sz w:val="18"/>
              </w:rPr>
              <w:t>4 de octubre de 2026</w:t>
            </w:r>
          </w:p>
        </w:tc>
      </w:tr>
    </w:tbl>
    <w:p/>
    <w:p>
      <w:pPr>
        <w:spacing w:after="120"/>
      </w:pPr>
      <w:r>
        <w:t>Una historia de usuario o tarea está terminada cuando cumple todos los criterios aplicables de esta lista. La Definition of Done evita que una funcionalidad se considere completa solo porque compila en el computador de quien la desarrolló.</w:t>
      </w:r>
    </w:p>
    <w:p>
      <w:pPr>
        <w:pStyle w:val="Heading1"/>
      </w:pPr>
      <w:r>
        <w:t>1 Criterios funcionales</w:t>
      </w:r>
    </w:p>
    <w:p>
      <w:pPr>
        <w:pStyle w:val="ListBullet"/>
        <w:spacing w:after="60"/>
      </w:pPr>
      <w:r>
        <w:t>La historia implementa el comportamiento descrito y sus criterios de aceptación.</w:t>
      </w:r>
    </w:p>
    <w:p>
      <w:pPr>
        <w:pStyle w:val="ListBullet"/>
        <w:spacing w:after="60"/>
      </w:pPr>
      <w:r>
        <w:t>Los estados válidos y las reglas de negocio están validados.</w:t>
      </w:r>
    </w:p>
    <w:p>
      <w:pPr>
        <w:pStyle w:val="ListBullet"/>
        <w:spacing w:after="60"/>
      </w:pPr>
      <w:r>
        <w:t>Los permisos por rol y por operador fueron considerados.</w:t>
      </w:r>
    </w:p>
    <w:p>
      <w:pPr>
        <w:pStyle w:val="ListBullet"/>
        <w:spacing w:after="60"/>
      </w:pPr>
      <w:r>
        <w:t>Los errores esperables muestran una respuesta comprensible al usuario.</w:t>
      </w:r>
    </w:p>
    <w:p>
      <w:pPr>
        <w:pStyle w:val="Heading1"/>
      </w:pPr>
      <w:r>
        <w:t>2 Criterios técnicos</w:t>
      </w:r>
    </w:p>
    <w:p>
      <w:pPr>
        <w:pStyle w:val="ListBullet"/>
        <w:spacing w:after="60"/>
      </w:pPr>
      <w:r>
        <w:t>El código está integrado en la rama de trabajo y no contiene conflictos.</w:t>
      </w:r>
    </w:p>
    <w:p>
      <w:pPr>
        <w:pStyle w:val="ListBullet"/>
        <w:spacing w:after="60"/>
      </w:pPr>
      <w:r>
        <w:t>Las consultas usan parámetros y respetan el aislamiento por empresa.</w:t>
      </w:r>
    </w:p>
    <w:p>
      <w:pPr>
        <w:pStyle w:val="ListBullet"/>
        <w:spacing w:after="60"/>
      </w:pPr>
      <w:r>
        <w:t>No se agregan secretos, contraseñas ni archivos generados al repositorio.</w:t>
      </w:r>
    </w:p>
    <w:p>
      <w:pPr>
        <w:pStyle w:val="ListBullet"/>
        <w:spacing w:after="60"/>
      </w:pPr>
      <w:r>
        <w:t>La funcionalidad mantiene compatibilidad con Docker y las instrucciones de ejecución.</w:t>
      </w:r>
    </w:p>
    <w:p>
      <w:pPr>
        <w:pStyle w:val="Heading1"/>
      </w:pPr>
      <w:r>
        <w:t>3 Calidad y pruebas</w:t>
      </w:r>
    </w:p>
    <w:tbl>
      <w:tblPr>
        <w:tblStyle w:val="TableGrid"/>
        <w:tblW w:type="auto" w:w="0"/>
        <w:tblLook w:firstColumn="1" w:firstRow="1" w:lastColumn="0" w:lastRow="0" w:noHBand="0" w:noVBand="1" w:val="04A0"/>
      </w:tblPr>
      <w:tblGrid>
        <w:gridCol w:w="3360"/>
        <w:gridCol w:w="3360"/>
        <w:gridCol w:w="3360"/>
      </w:tblGrid>
      <w:t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spacing w:after="40" w:before="40"/>
            </w:pPr>
            <w:r/>
            <w:r>
              <w:rPr>
                <w:b/>
                <w:color w:val="FFFFFF"/>
                <w:sz w:val="17"/>
              </w:rPr>
              <w:t>Área</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spacing w:after="40" w:before="40"/>
            </w:pPr>
            <w:r/>
            <w:r>
              <w:rPr>
                <w:b/>
                <w:color w:val="FFFFFF"/>
                <w:sz w:val="17"/>
              </w:rPr>
              <w:t>Mínimo requerido</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shd w:fill="16382F"/>
          </w:tcPr>
          <w:p>
            <w:pPr>
              <w:spacing w:after="40" w:before="40"/>
            </w:pPr>
            <w:r/>
            <w:r>
              <w:rPr>
                <w:b/>
                <w:color w:val="FFFFFF"/>
                <w:sz w:val="17"/>
              </w:rPr>
              <w:t>Evidencia</w:t>
            </w:r>
          </w:p>
        </w:tc>
      </w:tr>
      <w:t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Unitarias</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Casos de validación de reglas y transformaciones</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Salida de runner o reporte</w:t>
            </w:r>
          </w:p>
        </w:tc>
      </w:tr>
      <w:t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spacing w:after="40" w:before="40"/>
            </w:pPr>
            <w:r/>
            <w:r>
              <w:rPr>
                <w:b w:val="0"/>
                <w:sz w:val="17"/>
              </w:rPr>
              <w:t>Integración</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spacing w:after="40" w:before="40"/>
            </w:pPr>
            <w:r/>
            <w:r>
              <w:rPr>
                <w:b w:val="0"/>
                <w:sz w:val="17"/>
              </w:rPr>
              <w:t>Endpoint y persistencia con base de datos de prueba</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spacing w:after="40" w:before="40"/>
            </w:pPr>
            <w:r/>
            <w:r>
              <w:rPr>
                <w:b w:val="0"/>
                <w:sz w:val="17"/>
              </w:rPr>
              <w:t>Request/response o log</w:t>
            </w:r>
          </w:p>
        </w:tc>
      </w:tr>
      <w:t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Seguridad</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Acceso sin token, rol incorrecto y tenant incorrecto</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Casos 401/403</w:t>
            </w:r>
          </w:p>
        </w:tc>
      </w:tr>
      <w:t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spacing w:after="40" w:before="40"/>
            </w:pPr>
            <w:r/>
            <w:r>
              <w:rPr>
                <w:b w:val="0"/>
                <w:sz w:val="17"/>
              </w:rPr>
              <w:t>Rendimiento</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spacing w:after="40" w:before="40"/>
            </w:pPr>
            <w:r/>
            <w:r>
              <w:rPr>
                <w:b w:val="0"/>
                <w:sz w:val="17"/>
              </w:rPr>
              <w:t>Consultas principales bajo el umbral acordado</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shd w:fill="F1F5F2"/>
          </w:tcPr>
          <w:p>
            <w:pPr>
              <w:spacing w:after="40" w:before="40"/>
            </w:pPr>
            <w:r/>
            <w:r>
              <w:rPr>
                <w:b w:val="0"/>
                <w:sz w:val="17"/>
              </w:rPr>
              <w:t>Medición reproducible</w:t>
            </w:r>
          </w:p>
        </w:tc>
      </w:tr>
      <w:tr>
        <w:tc>
          <w:tcPr>
            <w:tcW w:type="dxa" w:w="1728"/>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UI</w:t>
            </w:r>
          </w:p>
        </w:tc>
        <w:tc>
          <w:tcPr>
            <w:tcW w:type="dxa" w:w="4320"/>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Flujo navegable sin errores visibles</w:t>
            </w:r>
          </w:p>
        </w:tc>
        <w:tc>
          <w:tcPr>
            <w:tcW w:type="dxa" w:w="3456"/>
            <w:vAlign w:val="center"/>
            <w:tcBorders>
              <w:top w:val="single" w:sz="4" w:color="D9E2DD"/>
              <w:left w:val="single" w:sz="4" w:color="D9E2DD"/>
              <w:bottom w:val="single" w:sz="4" w:color="D9E2DD"/>
              <w:right w:val="single" w:sz="4" w:color="D9E2DD"/>
              <w:insideH w:val="single" w:sz="4" w:color="D9E2DD"/>
              <w:insideV w:val="single" w:sz="4" w:color="D9E2DD"/>
            </w:tcBorders>
          </w:tcPr>
          <w:p>
            <w:pPr>
              <w:spacing w:after="40" w:before="40"/>
            </w:pPr>
            <w:r/>
            <w:r>
              <w:rPr>
                <w:b w:val="0"/>
                <w:sz w:val="17"/>
              </w:rPr>
              <w:t>Captura o checklist</w:t>
            </w:r>
          </w:p>
        </w:tc>
      </w:tr>
    </w:tbl>
    <w:p>
      <w:pPr>
        <w:spacing w:after="20"/>
      </w:pPr>
    </w:p>
    <w:p>
      <w:pPr>
        <w:pStyle w:val="Heading1"/>
      </w:pPr>
      <w:r>
        <w:t>4 Documentación y aceptación</w:t>
      </w:r>
    </w:p>
    <w:p>
      <w:pPr>
        <w:pStyle w:val="ListBullet"/>
        <w:spacing w:after="60"/>
      </w:pPr>
      <w:r>
        <w:t>La documentación técnica y el README reflejan el comportamiento actual.</w:t>
      </w:r>
    </w:p>
    <w:p>
      <w:pPr>
        <w:pStyle w:val="ListBullet"/>
        <w:spacing w:after="60"/>
      </w:pPr>
      <w:r>
        <w:t>Se registran decisiones o limitaciones conocidas.</w:t>
      </w:r>
    </w:p>
    <w:p>
      <w:pPr>
        <w:pStyle w:val="ListBullet"/>
        <w:spacing w:after="60"/>
      </w:pPr>
      <w:r>
        <w:t>La revisión por otro integrante fue realizada cuando la tarea afecta integración.</w:t>
      </w:r>
    </w:p>
    <w:p>
      <w:pPr>
        <w:pStyle w:val="ListBullet"/>
        <w:spacing w:after="60"/>
      </w:pPr>
      <w:r>
        <w:t>El cliente o el responsable del bloque valida la salida cuando corresponde.</w:t>
      </w:r>
    </w:p>
    <w:p>
      <w:pPr>
        <w:pStyle w:val="Heading1"/>
      </w:pPr>
      <w:r>
        <w:t>5 Excepciones</w:t>
      </w:r>
    </w:p>
    <w:p>
      <w:pPr>
        <w:spacing w:after="120"/>
      </w:pPr>
      <w:r>
        <w:t>Una excepción debe quedar escrita en la tarjeta o acta del sprint, indicando qué falta, por qué se acepta temporalmente y quién es responsable de corregirlo.</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77C"/>
        <w:sz w:val="16"/>
      </w:rPr>
      <w:t>Kill Bichos IA | Fase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