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diseño del sistema</w:t>
      </w:r>
    </w:p>
    <w:p>
      <w:pPr>
        <w:spacing w:after="320"/>
      </w:pPr>
      <w:r>
        <w:rPr>
          <w:i/>
          <w:color w:val="315B78"/>
          <w:sz w:val="22"/>
        </w:rPr>
        <w:t>Arquitectura, datos, UML y requisitos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/>
                <w:color w:val="16382F"/>
                <w:sz w:val="18"/>
              </w:rPr>
              <w:t>Proyecto</w:t>
            </w:r>
          </w:p>
        </w:tc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 w:val="0"/>
                <w:sz w:val="18"/>
              </w:rPr>
              <w:t>Kill Bichos IA</w:t>
            </w:r>
          </w:p>
        </w:tc>
      </w:tr>
      <w:tr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/>
                <w:color w:val="16382F"/>
                <w:sz w:val="18"/>
              </w:rPr>
              <w:t>Fecha</w:t>
            </w:r>
          </w:p>
        </w:tc>
        <w:tc>
          <w:tcPr>
            <w:tcW w:type="dxa" w:w="4896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vAlign w:val="center"/>
          </w:tcPr>
          <w:p>
            <w:pPr>
              <w:spacing w:after="40" w:before="40"/>
            </w:pPr>
            <w:r/>
            <w:r>
              <w:rPr>
                <w:b w:val="0"/>
                <w:sz w:val="18"/>
              </w:rPr>
              <w:t>4 de octubre de 2026</w:t>
            </w:r>
          </w:p>
        </w:tc>
      </w:tr>
    </w:tbl>
    <w:p/>
    <w:p>
      <w:pPr>
        <w:spacing w:after="120"/>
      </w:pPr>
      <w:r>
        <w:t>El diseño propone una arquitectura web y móvil con un backend centralizado. El panel web y la aplicación móvil consumen la misma API, mientras PostgreSQL/PostGIS conserva clientes, visitas, croquis y dispositivos con controles de acceso.</w:t>
      </w:r>
    </w:p>
    <w:p>
      <w:pPr>
        <w:pStyle w:val="Heading1"/>
      </w:pPr>
      <w:r>
        <w:t>1 Arquitectura lógica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80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Capa</w:t>
            </w:r>
          </w:p>
        </w:tc>
        <w:tc>
          <w:tcPr>
            <w:tcW w:type="dxa" w:w="316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Componentes</w:t>
            </w:r>
          </w:p>
        </w:tc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Responsabilidad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Presentación</w:t>
            </w:r>
          </w:p>
        </w:tc>
        <w:tc>
          <w:tcPr>
            <w:tcW w:type="dxa" w:w="316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React/Vite y Flutter</w:t>
            </w:r>
          </w:p>
        </w:tc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Panel administrativo y operación en terreno.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Aplicación</w:t>
            </w:r>
          </w:p>
        </w:tc>
        <w:tc>
          <w:tcPr>
            <w:tcW w:type="dxa" w:w="316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FastAPI, routers y esquemas Pydantic</w:t>
            </w:r>
          </w:p>
        </w:tc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Autenticación, reglas, validación y contratos.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Persistencia</w:t>
            </w:r>
          </w:p>
        </w:tc>
        <w:tc>
          <w:tcPr>
            <w:tcW w:type="dxa" w:w="316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SQLAlchemy, PostgreSQL y PostGIS</w:t>
            </w:r>
          </w:p>
        </w:tc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Datos transaccionales y coordenadas geográficas.</w:t>
            </w:r>
          </w:p>
        </w:tc>
      </w:tr>
      <w:tr>
        <w:tc>
          <w:tcPr>
            <w:tcW w:type="dxa" w:w="180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Integraciones</w:t>
            </w:r>
          </w:p>
        </w:tc>
        <w:tc>
          <w:tcPr>
            <w:tcW w:type="dxa" w:w="316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WhatsApp Business, LLM y mapas</w:t>
            </w:r>
          </w:p>
        </w:tc>
        <w:tc>
          <w:tcPr>
            <w:tcW w:type="dxa" w:w="4608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Conversación, intención, disponibilidad y mapa.</w:t>
            </w:r>
          </w:p>
        </w:tc>
      </w:tr>
    </w:tbl>
    <w:p>
      <w:pPr>
        <w:spacing w:after="20"/>
      </w:pPr>
    </w:p>
    <w:p>
      <w:pPr>
        <w:pStyle w:val="Heading1"/>
      </w:pPr>
      <w:r>
        <w:t>2 Modelo de datos</w:t>
      </w:r>
    </w:p>
    <w:p>
      <w:pPr>
        <w:spacing w:after="120"/>
      </w:pPr>
      <w:r>
        <w:t>Las entidades principales son empresas, usuarios, operadores, clientes, visitas, croquis y dispositivos_trampa. Las conversaciones y mensajes de WhatsApp mantienen el contexto del agente. Las coordenadas se almacenan como GEOGRAPHY(Point, 4326) y se exponen como latitud y longitud.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Relación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Cardinalidad</w:t>
            </w:r>
          </w:p>
        </w:tc>
        <w:tc>
          <w:tcPr>
            <w:tcW w:type="dxa" w:w="47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Regla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Empresa - Clientes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1 a muchos</w:t>
            </w:r>
          </w:p>
        </w:tc>
        <w:tc>
          <w:tcPr>
            <w:tcW w:type="dxa" w:w="47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Un cliente pertenece a una empresa.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Cliente - Visitas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1 a muchos</w:t>
            </w:r>
          </w:p>
        </w:tc>
        <w:tc>
          <w:tcPr>
            <w:tcW w:type="dxa" w:w="47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Las visitas conservan el historial del cliente.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Visita - Croquis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1 a muchos</w:t>
            </w:r>
          </w:p>
        </w:tc>
        <w:tc>
          <w:tcPr>
            <w:tcW w:type="dxa" w:w="47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Se permiten versiones de croquis asociadas a visitas.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Croquis - Dispositivos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1 a muchos</w:t>
            </w:r>
          </w:p>
        </w:tc>
        <w:tc>
          <w:tcPr>
            <w:tcW w:type="dxa" w:w="47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Los dispositivos se retiran lógicamente.</w:t>
            </w:r>
          </w:p>
        </w:tc>
      </w:tr>
      <w:tr>
        <w:tc>
          <w:tcPr>
            <w:tcW w:type="dxa" w:w="2880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Operador - Visitas</w:t>
            </w:r>
          </w:p>
        </w:tc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1 a muchos</w:t>
            </w:r>
          </w:p>
        </w:tc>
        <w:tc>
          <w:tcPr>
            <w:tcW w:type="dxa" w:w="475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Un operador consulta y actualiza sus propias visitas.</w:t>
            </w:r>
          </w:p>
        </w:tc>
      </w:tr>
    </w:tbl>
    <w:p>
      <w:pPr>
        <w:spacing w:after="20"/>
      </w:pPr>
    </w:p>
    <w:p>
      <w:pPr>
        <w:pStyle w:val="Heading1"/>
      </w:pPr>
      <w:r>
        <w:t>3 Flujo principal</w:t>
      </w:r>
    </w:p>
    <w:p>
      <w:pPr>
        <w:pStyle w:val="ListBullet"/>
        <w:spacing w:after="60"/>
      </w:pPr>
      <w:r>
        <w:t>El usuario administrativo inicia sesión y recibe un token de acceso.</w:t>
      </w:r>
    </w:p>
    <w:p>
      <w:pPr>
        <w:pStyle w:val="ListBullet"/>
        <w:spacing w:after="60"/>
      </w:pPr>
      <w:r>
        <w:t>El panel consulta clientes, operadores, estadísticas y agenda.</w:t>
      </w:r>
    </w:p>
    <w:p>
      <w:pPr>
        <w:pStyle w:val="ListBullet"/>
        <w:spacing w:after="60"/>
      </w:pPr>
      <w:r>
        <w:t>La visita se crea manualmente o desde el agente conversacional.</w:t>
      </w:r>
    </w:p>
    <w:p>
      <w:pPr>
        <w:pStyle w:val="ListBullet"/>
        <w:spacing w:after="60"/>
      </w:pPr>
      <w:r>
        <w:t>El operador consulta su agenda en móvil y abre el croquis.</w:t>
      </w:r>
    </w:p>
    <w:p>
      <w:pPr>
        <w:pStyle w:val="ListBullet"/>
        <w:spacing w:after="60"/>
      </w:pPr>
      <w:r>
        <w:t>El operador valida, mueve o retira dispositivos y registra el resultado de la visita.</w:t>
      </w:r>
    </w:p>
    <w:p>
      <w:pPr>
        <w:pStyle w:val="Heading1"/>
      </w:pPr>
      <w:r>
        <w:t>4 Vista UML textual</w:t>
      </w:r>
    </w:p>
    <w:p>
      <w:pPr>
        <w:spacing w:after="120"/>
      </w:pPr>
      <w:r>
        <w:t>Actores: Administrador/Coordinador, Operador, Cliente y Agente IA. Casos de uso: autenticarse, gestionar cliente, agendar visita, consultar agenda, consultar croquis, validar dispositivo y registrar visita. El Agente IA incluye clasificar intención y proponer horarios; el Operador extiende el flujo con validación final.</w:t>
      </w:r>
    </w:p>
    <w:p>
      <w:pPr>
        <w:pStyle w:val="Heading1"/>
      </w:pPr>
      <w:r>
        <w:t>5 Requisitos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Atributo</w:t>
            </w:r>
          </w:p>
        </w:tc>
        <w:tc>
          <w:tcPr>
            <w:tcW w:type="dxa" w:w="763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16382F"/>
          </w:tcPr>
          <w:p>
            <w:pPr>
              <w:spacing w:after="40" w:before="40"/>
            </w:pPr>
            <w:r/>
            <w:r>
              <w:rPr>
                <w:b/>
                <w:color w:val="FFFFFF"/>
                <w:sz w:val="17"/>
              </w:rPr>
              <w:t>Requisito verificable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Seguridad</w:t>
            </w:r>
          </w:p>
        </w:tc>
        <w:tc>
          <w:tcPr>
            <w:tcW w:type="dxa" w:w="763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Requests protegidos con JWT; roles admin/coordinador/operador; CORS restringido.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Trazabilidad</w:t>
            </w:r>
          </w:p>
        </w:tc>
        <w:tc>
          <w:tcPr>
            <w:tcW w:type="dxa" w:w="763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Las visitas y cambios de dispositivos no se eliminan físicamente.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Rendimiento</w:t>
            </w:r>
          </w:p>
        </w:tc>
        <w:tc>
          <w:tcPr>
            <w:tcW w:type="dxa" w:w="763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Consultas de agenda y datos principales deben responder dentro del umbral acordado.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Disponibilidad</w:t>
            </w:r>
          </w:p>
        </w:tc>
        <w:tc>
          <w:tcPr>
            <w:tcW w:type="dxa" w:w="763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Docker permite levantar una base reproducible para desarrollo y demo.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Usabilidad</w:t>
            </w:r>
          </w:p>
        </w:tc>
        <w:tc>
          <w:tcPr>
            <w:tcW w:type="dxa" w:w="763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Las acciones principales del panel son visibles sin navegar por más de dos niveles.</w:t>
            </w:r>
          </w:p>
        </w:tc>
      </w:tr>
      <w:tr>
        <w:tc>
          <w:tcPr>
            <w:tcW w:type="dxa" w:w="2016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Mantenibilidad</w:t>
            </w:r>
          </w:p>
        </w:tc>
        <w:tc>
          <w:tcPr>
            <w:tcW w:type="dxa" w:w="7632"/>
            <w:vAlign w:val="center"/>
            <w:tcBorders>
              <w:top w:val="single" w:sz="4" w:color="D9E2DD"/>
              <w:left w:val="single" w:sz="4" w:color="D9E2DD"/>
              <w:bottom w:val="single" w:sz="4" w:color="D9E2DD"/>
              <w:right w:val="single" w:sz="4" w:color="D9E2DD"/>
              <w:insideH w:val="single" w:sz="4" w:color="D9E2DD"/>
              <w:insideV w:val="single" w:sz="4" w:color="D9E2DD"/>
            </w:tcBorders>
            <w:shd w:fill="F1F5F2"/>
          </w:tcPr>
          <w:p>
            <w:pPr>
              <w:spacing w:after="40" w:before="40"/>
            </w:pPr>
            <w:r/>
            <w:r>
              <w:rPr>
                <w:b w:val="0"/>
                <w:sz w:val="17"/>
              </w:rPr>
              <w:t>Routers, esquemas, repositorios y clientes se mantienen separados por responsabilidad.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1877C"/>
        <w:sz w:val="16"/>
      </w:rPr>
      <w:t>Kill Bichos IA | Fase 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