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!-- Chapter 1 -->
    <w:p>
      <w:pPr>
        <w:pStyle w:val="Heading1"/>
      </w:pPr>
      <w:r>
        <w:t>第一章：数字时代的拟物阅读美学</w:t>
      </w:r>
    </w:p>
    <w:p>
      <w:r>
        <w:t>电子书阅读器不应仅仅是冰冷的代码展示器，而应当传递出纸质书籍的温度与沉淀。木质书架、精致书脊、书页厚度阴影，共同营造出静心阅读的仪式感。</w:t>
      </w:r>
    </w:p>
    <w:p>
      <w:r>
        <w:rPr>
          <w:b/>
        </w:rPr>
        <w:t>重要观察：</w:t>
      </w:r>
      <w:r>
        <w:t>当读者置身于优雅的环境中时，心流状态的进入速度将显著提升 40% 以上。</w:t>
      </w:r>
    </w:p>
    <!-- Chapter 2 -->
    <w:p>
      <w:pPr>
        <w:pStyle w:val="Heading1"/>
      </w:pPr>
      <w:r>
        <w:t>第二章：全格式兼容架构演进</w:t>
      </w:r>
    </w:p>
    <w:p>
      <w:r>
        <w:t>传统的阅读器往往将格式割裂开来。EPUB 走一种引擎，PDF 走另一种引擎，而 Word 文档（.docx）更是常常被排斥在阅读器之外，只能在臃肿的办公套件中打开。</w:t>
      </w:r>
    </w:p>
    <w:p>
      <w:r>
        <w:t>通过将 OpenXML 标准语义化转译为标准 DOM，Linden Leaf 赋予了 Word 文档与出版级电子书完全同等的翻页、主题、高亮与划线能力。</w:t>
      </w:r>
    </w:p>
    <!-- Chapter 3 -->
    <w:p>
      <w:pPr>
        <w:pStyle w:val="Heading1"/>
      </w:pPr>
      <w:r>
        <w:t>第三章：知识资产与思维卡片</w:t>
      </w:r>
    </w:p>
    <w:p>
      <w:r>
        <w:t>阅读不仅是输入，更是思考的重构。六色荧光笔、五种笔刷手感，配合一键生成的高清书摘卡片，让阅读灵感随时在社交网络与个人知识库之间流淌。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180" w:after="9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otalTime>120</TotalTime>
  <Pages>3</Pages>
  <Words>850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现代化电子书阅读器设计白皮书</dc:title>
  <dc:creator>Linden Leaf 研发团队</dc:creator>
  <dc:description>探讨拟物排版、多格式解析与全时区阅读统计的设计与实现。</dc:description>
  <cp:lastModifiedBy>深度读者</cp:lastModifiedBy>
</cp:coreProperties>
</file>