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JOSEPH LAMB</w:t>
      </w:r>
    </w:p>
    <w:p>
      <w:pPr>
        <w:spacing w:after="40"/>
        <w:jc w:val="center"/>
      </w:pPr>
      <w:r>
        <w:rPr>
          <w:rFonts w:ascii="Calibri" w:cs="Calibri" w:eastAsia="Calibri" w:hAnsi="Calibri"/>
          <w:sz w:val="19"/>
          <w:szCs w:val="19"/>
        </w:rPr>
        <w:t xml:space="preserve">j85473@gmail.com   •   920-960-3723   •   Minneapolis, MN   •   linkedin.com/in/j85473</w:t>
      </w:r>
    </w:p>
    <w:p>
      <w:pPr>
        <w:spacing w:after="120"/>
        <w:jc w:val="center"/>
      </w:pPr>
      <w:r>
        <w:rPr>
          <w:rFonts w:ascii="Calibri" w:cs="Calibri" w:eastAsia="Calibri" w:hAnsi="Calibri"/>
          <w:b/>
          <w:bCs/>
          <w:sz w:val="19"/>
          <w:szCs w:val="19"/>
        </w:rPr>
        <w:t xml:space="preserve">CHANNEL SALES   |   DISTRIBUTOR &amp; PARTNER MANAGEMENT   |   MULTI-STATE TERRITORY GROWTH</w:t>
      </w:r>
    </w:p>
    <w:p>
      <w:pPr>
        <w:spacing w:after="60"/>
      </w:pPr>
      <w:r>
        <w:rPr>
          <w:rFonts w:ascii="Calibri" w:cs="Calibri" w:eastAsia="Calibri" w:hAnsi="Calibri"/>
          <w:sz w:val="21"/>
          <w:szCs w:val="21"/>
        </w:rPr>
        <w:t xml:space="preserve">Ten years in channel sales, growing revenue through independently owned distributor offices, outsourced retail staffing partners, and national retail chains.</w:t>
      </w:r>
    </w:p>
    <w:p>
      <w:pPr>
        <w:spacing w:after="60"/>
      </w:pPr>
      <w:r>
        <w:rPr>
          <w:rFonts w:ascii="Calibri" w:cs="Calibri" w:eastAsia="Calibri" w:hAnsi="Calibri"/>
          <w:sz w:val="21"/>
          <w:szCs w:val="21"/>
        </w:rPr>
        <w:t xml:space="preserve">Most recently ran a 161-location, four-state territory across 14 distributor offices — operating against a 15% growth mandate re-set annually for six straight years, and holding 100% partner retention on a paid platform in a no-contract, week-to-week billing environment despite a free carrier alternative.</w:t>
      </w:r>
    </w:p>
    <w:p>
      <w:pPr>
        <w:spacing w:after="60"/>
      </w:pPr>
      <w:r>
        <w:rPr>
          <w:rFonts w:ascii="Calibri" w:cs="Calibri" w:eastAsia="Calibri" w:hAnsi="Calibri"/>
          <w:sz w:val="21"/>
          <w:szCs w:val="21"/>
        </w:rPr>
        <w:t xml:space="preserve">Built what didn't exist: the analytics that killed a fraud pattern, a training standard that halved partner onboarding, and an escalation workflow that protected the company's largest account.</w:t>
      </w:r>
    </w:p>
    <w:p>
      <w:pPr>
        <w:keepNext/>
        <w:pBdr>
          <w:bottom w:val="single" w:color="000000" w:sz="6" w:space="2"/>
        </w:pBdr>
        <w:spacing w:after="50" w:before="160"/>
      </w:pPr>
      <w:r>
        <w:rPr>
          <w:rFonts w:ascii="Calibri" w:cs="Calibri" w:eastAsia="Calibri" w:hAnsi="Calibri"/>
          <w:b/>
          <w:bCs/>
          <w:sz w:val="22"/>
          <w:szCs w:val="22"/>
        </w:rPr>
        <w:t xml:space="preserve">CORE COMPETENCIES</w:t>
      </w:r>
    </w:p>
    <w:p>
      <w:pPr>
        <w:spacing w:after="40"/>
      </w:pPr>
      <w:r>
        <w:rPr>
          <w:rFonts w:ascii="Calibri" w:cs="Calibri" w:eastAsia="Calibri" w:hAnsi="Calibri"/>
          <w:sz w:val="20"/>
          <w:szCs w:val="20"/>
        </w:rPr>
        <w:t xml:space="preserve">Channel Partner Management  ·  Joint Business Planning  ·  Sell-Through Performance  ·  Partner Enablement  ·  Territory Management  ·  Two-Tier Distribution</w:t>
      </w:r>
    </w:p>
    <w:p>
      <w:pPr>
        <w:keepNext/>
        <w:pBdr>
          <w:bottom w:val="single" w:color="000000" w:sz="6" w:space="2"/>
        </w:pBdr>
        <w:spacing w:after="50" w:before="160"/>
      </w:pPr>
      <w:r>
        <w:rPr>
          <w:rFonts w:ascii="Calibri" w:cs="Calibri" w:eastAsia="Calibri" w:hAnsi="Calibri"/>
          <w:b/>
          <w:bCs/>
          <w:sz w:val="22"/>
          <w:szCs w:val="22"/>
        </w:rPr>
        <w:t xml:space="preserve">PROFESSIONAL EXPERIENCE</w:t>
      </w:r>
    </w:p>
    <w:p>
      <w:pPr>
        <w:keepNext/>
        <w:keepLines/>
        <w:tabs>
          <w:tab w:val="right" w:pos="10368"/>
        </w:tabs>
        <w:spacing w:after="0" w:before="120"/>
      </w:pPr>
      <w:r>
        <w:rPr>
          <w:rFonts w:ascii="Calibri" w:cs="Calibri" w:eastAsia="Calibri" w:hAnsi="Calibri"/>
          <w:b/>
          <w:bCs/>
          <w:sz w:val="21"/>
          <w:szCs w:val="21"/>
        </w:rPr>
        <w:t xml:space="preserve">DSI Systems</w:t>
      </w:r>
      <w:r>
        <w:rPr>
          <w:rFonts w:ascii="Calibri" w:cs="Calibri" w:eastAsia="Calibri" w:hAnsi="Calibri"/>
          <w:sz w:val="21"/>
          <w:szCs w:val="21"/>
        </w:rPr>
        <w:t xml:space="preserve"> (Minneapolis, MN)</w:t>
      </w:r>
      <w:r>
        <w:rPr>
          <w:rFonts w:ascii="Calibri" w:cs="Calibri" w:eastAsia="Calibri" w:hAnsi="Calibri"/>
          <w:sz w:val="21"/>
          <w:szCs w:val="21"/>
        </w:rPr>
        <w:t xml:space="preserve">	Sep 2019 – Apr 2026</w:t>
      </w:r>
    </w:p>
    <w:p>
      <w:pPr>
        <w:keepNext/>
        <w:spacing w:after="20" w:before="20"/>
      </w:pPr>
      <w:r>
        <w:rPr>
          <w:rFonts w:ascii="Calibri" w:cs="Calibri" w:eastAsia="Calibri" w:hAnsi="Calibri"/>
          <w:b/>
          <w:bCs/>
          <w:sz w:val="21"/>
          <w:szCs w:val="21"/>
        </w:rPr>
        <w:t xml:space="preserve">Channel Account Manager</w:t>
      </w:r>
      <w:r>
        <w:rPr>
          <w:rFonts w:ascii="Calibri" w:cs="Calibri" w:eastAsia="Calibri" w:hAnsi="Calibri"/>
          <w:sz w:val="21"/>
          <w:szCs w:val="21"/>
        </w:rPr>
        <w:t xml:space="preserve">  ·  MN / WI / IA / SD — 161 locations, 14 distributor offices at peak</w:t>
      </w:r>
    </w:p>
    <w:p>
      <w:pPr>
        <w:keepNext/>
        <w:spacing w:after="60" w:before="20"/>
      </w:pPr>
      <w:r>
        <w:rPr>
          <w:rFonts w:ascii="Calibri" w:cs="Calibri" w:eastAsia="Calibri" w:hAnsi="Calibri"/>
          <w:i/>
          <w:iCs/>
          <w:sz w:val="20"/>
          <w:szCs w:val="20"/>
        </w:rPr>
        <w:t xml:space="preserve">Joined one month after the national carrier contract that took a 35-year-old, sub-100-person distributor past 1,000 employees in three years. No territory reporting, enablement, or training infrastructure existed at that scale.</w:t>
      </w:r>
    </w:p>
    <w:p>
      <w:pPr>
        <w:keepNext/>
        <w:spacing w:after="30" w:before="80"/>
      </w:pPr>
      <w:r>
        <w:rPr>
          <w:rFonts w:ascii="Calibri" w:cs="Calibri" w:eastAsia="Calibri" w:hAnsi="Calibri"/>
          <w:b/>
          <w:bCs/>
          <w:caps w:val="false"/>
          <w:sz w:val="20"/>
          <w:szCs w:val="20"/>
        </w:rPr>
        <w:t xml:space="preserve">BUILD  |  2019 – 2022</w:t>
      </w:r>
    </w:p>
    <w:p>
      <w:pPr>
        <w:pStyle w:val="ListParagraph"/>
        <w:keepLines/>
        <w:numPr>
          <w:ilvl w:val="0"/>
          <w:numId w:val="2"/>
        </w:numPr>
        <w:spacing w:after="40"/>
      </w:pPr>
      <w:r>
        <w:rPr>
          <w:rFonts w:ascii="Calibri" w:cs="Calibri" w:eastAsia="Calibri" w:hAnsi="Calibri"/>
          <w:b/>
          <w:bCs/>
          <w:sz w:val="21"/>
          <w:szCs w:val="21"/>
        </w:rPr>
        <w:t xml:space="preserve">$3.1M+ in Annualized Commissions Recovered:</w:t>
      </w:r>
      <w:r>
        <w:rPr>
          <w:rFonts w:ascii="Calibri" w:cs="Calibri" w:eastAsia="Calibri" w:hAnsi="Calibri"/>
          <w:sz w:val="21"/>
          <w:szCs w:val="21"/>
        </w:rPr>
        <w:t xml:space="preserve"> Every week, 200 lines went unactivated at the largest distributor office — a different 200 each time, worth $60K+ in weekly commissions nobody was tracking. Rolled an “Own Your Customer” outreach cadence across all five offices in the territory at the time, cutting stalled activations to under 20 per week within a month; it ran until 2025.</w:t>
      </w:r>
    </w:p>
    <w:p>
      <w:pPr>
        <w:pStyle w:val="ListParagraph"/>
        <w:keepLines/>
        <w:numPr>
          <w:ilvl w:val="0"/>
          <w:numId w:val="2"/>
        </w:numPr>
        <w:spacing w:after="40"/>
      </w:pPr>
      <w:r>
        <w:rPr>
          <w:rFonts w:ascii="Calibri" w:cs="Calibri" w:eastAsia="Calibri" w:hAnsi="Calibri"/>
          <w:b/>
          <w:bCs/>
          <w:sz w:val="21"/>
          <w:szCs w:val="21"/>
        </w:rPr>
        <w:t xml:space="preserve">50% Reduction in Partner Training Time:</w:t>
      </w:r>
      <w:r>
        <w:rPr>
          <w:rFonts w:ascii="Calibri" w:cs="Calibri" w:eastAsia="Calibri" w:hAnsi="Calibri"/>
          <w:sz w:val="21"/>
          <w:szCs w:val="21"/>
        </w:rPr>
        <w:t xml:space="preserve"> Replaced a 10-day partner new-hire program with a five-day training and certification curriculum designed for a transactional partner model — continual new-hire flow, seller readiness, platform proficiency, compliance, and activation follow-up.</w:t>
      </w:r>
    </w:p>
    <w:p>
      <w:pPr>
        <w:pStyle w:val="ListParagraph"/>
        <w:keepLines/>
        <w:numPr>
          <w:ilvl w:val="0"/>
          <w:numId w:val="2"/>
        </w:numPr>
        <w:spacing w:after="40"/>
      </w:pPr>
      <w:r>
        <w:rPr>
          <w:rFonts w:ascii="Calibri" w:cs="Calibri" w:eastAsia="Calibri" w:hAnsi="Calibri"/>
          <w:b/>
          <w:bCs/>
          <w:sz w:val="21"/>
          <w:szCs w:val="21"/>
        </w:rPr>
        <w:t xml:space="preserve">300+ Rep Pilot Leadership:</w:t>
      </w:r>
      <w:r>
        <w:rPr>
          <w:rFonts w:ascii="Calibri" w:cs="Calibri" w:eastAsia="Calibri" w:hAnsi="Calibri"/>
          <w:sz w:val="21"/>
          <w:szCs w:val="21"/>
        </w:rPr>
        <w:t xml:space="preserve"> Led field adoption for a national retail pilot, onboarding 300+ partner sales representatives and translating live-user friction into workflow changes that shaped the nationwide rollout.</w:t>
      </w:r>
    </w:p>
    <w:p>
      <w:pPr>
        <w:pStyle w:val="ListParagraph"/>
        <w:keepLines/>
        <w:numPr>
          <w:ilvl w:val="0"/>
          <w:numId w:val="2"/>
        </w:numPr>
        <w:spacing w:after="40"/>
      </w:pPr>
      <w:r>
        <w:rPr>
          <w:rFonts w:ascii="Calibri" w:cs="Calibri" w:eastAsia="Calibri" w:hAnsi="Calibri"/>
          <w:b/>
          <w:bCs/>
          <w:sz w:val="21"/>
          <w:szCs w:val="21"/>
        </w:rPr>
        <w:t xml:space="preserve">Eliminated a Fraud Pattern Carrier Reporting Couldn't See:</w:t>
      </w:r>
      <w:r>
        <w:rPr>
          <w:rFonts w:ascii="Calibri" w:cs="Calibri" w:eastAsia="Calibri" w:hAnsi="Calibri"/>
          <w:sz w:val="21"/>
          <w:szCs w:val="21"/>
        </w:rPr>
        <w:t xml:space="preserve"> Spotted order anomalies the existing reports didn't explain and built the analysis that isolated the cause — mismatched addresses paired with no-installs. Drove adoption of an address-lock control that took that fraud type to near zero.</w:t>
      </w:r>
    </w:p>
    <w:p>
      <w:pPr>
        <w:pStyle w:val="ListParagraph"/>
        <w:keepLines/>
        <w:numPr>
          <w:ilvl w:val="0"/>
          <w:numId w:val="2"/>
        </w:numPr>
        <w:spacing w:after="40"/>
      </w:pPr>
      <w:r>
        <w:rPr>
          <w:rFonts w:ascii="Calibri" w:cs="Calibri" w:eastAsia="Calibri" w:hAnsi="Calibri"/>
          <w:b/>
          <w:bCs/>
          <w:sz w:val="21"/>
          <w:szCs w:val="21"/>
        </w:rPr>
        <w:t xml:space="preserve">Wrote the Escalation SOP Running in Cape Town &amp; Durban:</w:t>
      </w:r>
      <w:r>
        <w:rPr>
          <w:rFonts w:ascii="Calibri" w:cs="Calibri" w:eastAsia="Calibri" w:hAnsi="Calibri"/>
          <w:sz w:val="21"/>
          <w:szCs w:val="21"/>
        </w:rPr>
        <w:t xml:space="preserve"> Dual-hatted onto a centralized escalations role in mid-2020 while keeping full territory ownership. Co-designed the triage framework and wrote the resolution content card by card in Trello for a 20-person escalations team — later the training and documentation used by hundreds of Ignition Group reps staffing the DSI account across Cape Town and Durban.</w:t>
      </w:r>
    </w:p>
    <w:p>
      <w:pPr>
        <w:pStyle w:val="ListParagraph"/>
        <w:keepLines/>
        <w:numPr>
          <w:ilvl w:val="0"/>
          <w:numId w:val="2"/>
        </w:numPr>
        <w:spacing w:after="40"/>
      </w:pPr>
      <w:r>
        <w:rPr>
          <w:rFonts w:ascii="Calibri" w:cs="Calibri" w:eastAsia="Calibri" w:hAnsi="Calibri"/>
          <w:b/>
          <w:bCs/>
          <w:sz w:val="21"/>
          <w:szCs w:val="21"/>
        </w:rPr>
        <w:t xml:space="preserve">Joint Business Planning &amp; Compliance Authority — 14 Distributor Offices:</w:t>
      </w:r>
      <w:r>
        <w:rPr>
          <w:rFonts w:ascii="Calibri" w:cs="Calibri" w:eastAsia="Calibri" w:hAnsi="Calibri"/>
          <w:sz w:val="21"/>
          <w:szCs w:val="21"/>
        </w:rPr>
        <w:t xml:space="preserve"> Ran weekly in-market and monthly out-of-market operating reviews with director- and C-suite partner leadership, balancing relationship depth against master-contract accountability. Compliance and conduct findings escalated directly to AT&amp;T, which could result in permanent removal of individual representatives or entire partner offices — protecting the partners who were performing.</w:t>
      </w:r>
    </w:p>
    <w:p>
      <w:pPr>
        <w:keepNext/>
        <w:spacing w:after="30" w:before="80"/>
      </w:pPr>
      <w:r>
        <w:rPr>
          <w:rFonts w:ascii="Calibri" w:cs="Calibri" w:eastAsia="Calibri" w:hAnsi="Calibri"/>
          <w:b/>
          <w:bCs/>
          <w:caps w:val="false"/>
          <w:sz w:val="20"/>
          <w:szCs w:val="20"/>
        </w:rPr>
        <w:t xml:space="preserve">SCALE  |  2023 – Apr 2026</w:t>
      </w:r>
    </w:p>
    <w:p>
      <w:pPr>
        <w:pStyle w:val="ListParagraph"/>
        <w:keepLines/>
        <w:numPr>
          <w:ilvl w:val="0"/>
          <w:numId w:val="2"/>
        </w:numPr>
        <w:spacing w:after="40"/>
      </w:pPr>
      <w:r>
        <w:rPr>
          <w:rFonts w:ascii="Calibri" w:cs="Calibri" w:eastAsia="Calibri" w:hAnsi="Calibri"/>
          <w:b/>
          <w:bCs/>
          <w:sz w:val="21"/>
          <w:szCs w:val="21"/>
        </w:rPr>
        <w:t xml:space="preserve">156% Retail Growth — 5,000 to 12,800+ Annual Net Adds:</w:t>
      </w:r>
      <w:r>
        <w:rPr>
          <w:rFonts w:ascii="Calibri" w:cs="Calibri" w:eastAsia="Calibri" w:hAnsi="Calibri"/>
          <w:sz w:val="21"/>
          <w:szCs w:val="21"/>
        </w:rPr>
        <w:t xml:space="preserve"> Directed B2B, D2D, and national-retail execution across 14 distributor offices and 161 locations in four states, against a 15% growth mandate re-set every year for six years, with peaks above 22%. Retail — the smallest of the three motions — carried roughly $8.7M in annualized subscriber revenue at AT&amp;T's published ARPU.</w:t>
      </w:r>
    </w:p>
    <w:p>
      <w:pPr>
        <w:pStyle w:val="ListParagraph"/>
        <w:keepLines/>
        <w:numPr>
          <w:ilvl w:val="0"/>
          <w:numId w:val="2"/>
        </w:numPr>
        <w:spacing w:after="40"/>
      </w:pPr>
      <w:r>
        <w:rPr>
          <w:rFonts w:ascii="Calibri" w:cs="Calibri" w:eastAsia="Calibri" w:hAnsi="Calibri"/>
          <w:b/>
          <w:bCs/>
          <w:sz w:val="21"/>
          <w:szCs w:val="21"/>
        </w:rPr>
        <w:t xml:space="preserve">100% Platform Retention:</w:t>
      </w:r>
      <w:r>
        <w:rPr>
          <w:rFonts w:ascii="Calibri" w:cs="Calibri" w:eastAsia="Calibri" w:hAnsi="Calibri"/>
          <w:sz w:val="21"/>
          <w:szCs w:val="21"/>
        </w:rPr>
        <w:t xml:space="preserve"> Held 100% distributor-partner retention on a paid SaaS platform over six years — no contract, week-to-week billing, against a free carrier-provided alternative.</w:t>
      </w:r>
    </w:p>
    <w:p>
      <w:pPr>
        <w:pStyle w:val="ListParagraph"/>
        <w:keepLines/>
        <w:numPr>
          <w:ilvl w:val="0"/>
          <w:numId w:val="2"/>
        </w:numPr>
        <w:spacing w:after="40"/>
      </w:pPr>
      <w:r>
        <w:rPr>
          <w:rFonts w:ascii="Calibri" w:cs="Calibri" w:eastAsia="Calibri" w:hAnsi="Calibri"/>
          <w:b/>
          <w:bCs/>
          <w:sz w:val="21"/>
          <w:szCs w:val="21"/>
        </w:rPr>
        <w:t xml:space="preserve">82% Escalation Reduction | 46%-of-Sales Account Retention:</w:t>
      </w:r>
      <w:r>
        <w:rPr>
          <w:rFonts w:ascii="Calibri" w:cs="Calibri" w:eastAsia="Calibri" w:hAnsi="Calibri"/>
          <w:sz w:val="21"/>
          <w:szCs w:val="21"/>
        </w:rPr>
        <w:t xml:space="preserve"> Designed an automated post-call SMS workflow with conditional Tier-2 routing and a 24-hour SLA. Cut escalations reaching the account's headquarters by 82% and contributed to retaining the company's largest national account — 46% of U.S. sales.</w:t>
      </w:r>
    </w:p>
    <w:p>
      <w:pPr>
        <w:keepNext/>
        <w:keepLines/>
        <w:pageBreakBefore/>
        <w:tabs>
          <w:tab w:val="right" w:pos="10368"/>
        </w:tabs>
        <w:spacing w:after="0" w:before="120"/>
      </w:pPr>
      <w:r>
        <w:rPr>
          <w:rFonts w:ascii="Calibri" w:cs="Calibri" w:eastAsia="Calibri" w:hAnsi="Calibri"/>
          <w:b/>
          <w:bCs/>
          <w:sz w:val="21"/>
          <w:szCs w:val="21"/>
        </w:rPr>
        <w:t xml:space="preserve">Rockstar Beverage Corporation</w:t>
      </w:r>
      <w:r>
        <w:rPr>
          <w:rFonts w:ascii="Calibri" w:cs="Calibri" w:eastAsia="Calibri" w:hAnsi="Calibri"/>
          <w:sz w:val="21"/>
          <w:szCs w:val="21"/>
        </w:rPr>
        <w:t xml:space="preserve"> (Oshkosh, WI)</w:t>
      </w:r>
      <w:r>
        <w:rPr>
          <w:rFonts w:ascii="Calibri" w:cs="Calibri" w:eastAsia="Calibri" w:hAnsi="Calibri"/>
          <w:sz w:val="21"/>
          <w:szCs w:val="21"/>
        </w:rPr>
        <w:t xml:space="preserve">	Aug 2017 – Jul 2018</w:t>
      </w:r>
    </w:p>
    <w:p>
      <w:pPr>
        <w:keepNext/>
        <w:spacing w:after="20" w:before="20"/>
      </w:pPr>
      <w:r>
        <w:rPr>
          <w:rFonts w:ascii="Calibri" w:cs="Calibri" w:eastAsia="Calibri" w:hAnsi="Calibri"/>
          <w:b/>
          <w:bCs/>
          <w:sz w:val="21"/>
          <w:szCs w:val="21"/>
        </w:rPr>
        <w:t xml:space="preserve">Territory Sales Manager</w:t>
      </w:r>
    </w:p>
    <w:p>
      <w:pPr>
        <w:pStyle w:val="ListParagraph"/>
        <w:keepLines/>
        <w:numPr>
          <w:ilvl w:val="0"/>
          <w:numId w:val="2"/>
        </w:numPr>
        <w:spacing w:after="40"/>
      </w:pPr>
      <w:r>
        <w:rPr>
          <w:rFonts w:ascii="Calibri" w:cs="Calibri" w:eastAsia="Calibri" w:hAnsi="Calibri"/>
          <w:b/>
          <w:bCs/>
          <w:sz w:val="21"/>
          <w:szCs w:val="21"/>
        </w:rPr>
        <w:t xml:space="preserve">ROCKSTAR of the Year, 2017:</w:t>
      </w:r>
      <w:r>
        <w:rPr>
          <w:rFonts w:ascii="Calibri" w:cs="Calibri" w:eastAsia="Calibri" w:hAnsi="Calibri"/>
          <w:sz w:val="21"/>
          <w:szCs w:val="21"/>
        </w:rPr>
        <w:t xml:space="preserve"> Earned Rockstar's top annual award after driving the Oshkosh Pepsi branch to 11.81% growth against 4.63% market-wide — #1 of six Wisconsin branches in both percentage and absolute case gain (+5,546 cases).</w:t>
      </w:r>
    </w:p>
    <w:p>
      <w:pPr>
        <w:pStyle w:val="ListParagraph"/>
        <w:keepLines/>
        <w:numPr>
          <w:ilvl w:val="0"/>
          <w:numId w:val="2"/>
        </w:numPr>
        <w:spacing w:after="40"/>
      </w:pPr>
      <w:r>
        <w:rPr>
          <w:rFonts w:ascii="Calibri" w:cs="Calibri" w:eastAsia="Calibri" w:hAnsi="Calibri"/>
          <w:b/>
          <w:bCs/>
          <w:sz w:val="21"/>
          <w:szCs w:val="21"/>
        </w:rPr>
        <w:t xml:space="preserve">Delivered 57% of Wisconsin's Market Growth from 31% of Its Volume:</w:t>
      </w:r>
      <w:r>
        <w:rPr>
          <w:rFonts w:ascii="Calibri" w:cs="Calibri" w:eastAsia="Calibri" w:hAnsi="Calibri"/>
          <w:sz w:val="21"/>
          <w:szCs w:val="21"/>
        </w:rPr>
        <w:t xml:space="preserve"> Managed three Pepsi distribution branches totaling 94,578 annual cases, generating 7,701 of the market's 13,434 incremental cases.</w:t>
      </w:r>
    </w:p>
    <w:p>
      <w:pPr>
        <w:pStyle w:val="ListParagraph"/>
        <w:keepLines/>
        <w:numPr>
          <w:ilvl w:val="0"/>
          <w:numId w:val="2"/>
        </w:numPr>
        <w:spacing w:after="40"/>
      </w:pPr>
      <w:r>
        <w:rPr>
          <w:rFonts w:ascii="Calibri" w:cs="Calibri" w:eastAsia="Calibri" w:hAnsi="Calibri"/>
          <w:b/>
          <w:bCs/>
          <w:sz w:val="21"/>
          <w:szCs w:val="21"/>
        </w:rPr>
        <w:t xml:space="preserve">1,600+ Location Territory:</w:t>
      </w:r>
      <w:r>
        <w:rPr>
          <w:rFonts w:ascii="Calibri" w:cs="Calibri" w:eastAsia="Calibri" w:hAnsi="Calibri"/>
          <w:sz w:val="21"/>
          <w:szCs w:val="21"/>
        </w:rPr>
        <w:t xml:space="preserve"> Directed GTM execution across 1,600+ retail locations served by three Pepsi distribution centers. Embedded in weekly 5 a.m. distributor sales meetings, closing retail deals for Pepsi representatives to enter and fulfill.</w:t>
      </w:r>
    </w:p>
    <w:p>
      <w:pPr>
        <w:pStyle w:val="ListParagraph"/>
        <w:keepLines/>
        <w:numPr>
          <w:ilvl w:val="0"/>
          <w:numId w:val="2"/>
        </w:numPr>
        <w:spacing w:after="40"/>
      </w:pPr>
      <w:r>
        <w:rPr>
          <w:rFonts w:ascii="Calibri" w:cs="Calibri" w:eastAsia="Calibri" w:hAnsi="Calibri"/>
          <w:b/>
          <w:bCs/>
          <w:sz w:val="21"/>
          <w:szCs w:val="21"/>
        </w:rPr>
        <w:t xml:space="preserve">100% Planogram Compliance in One Month:</w:t>
      </w:r>
      <w:r>
        <w:rPr>
          <w:rFonts w:ascii="Calibri" w:cs="Calibri" w:eastAsia="Calibri" w:hAnsi="Calibri"/>
          <w:sz w:val="21"/>
          <w:szCs w:val="21"/>
        </w:rPr>
        <w:t xml:space="preserve"> Designed an incentive competition that drove distributor reps — Pepsi employees, not Rockstar's — to full compliance across the market.</w:t>
      </w:r>
    </w:p>
    <w:p>
      <w:pPr>
        <w:pStyle w:val="ListParagraph"/>
        <w:keepLines/>
        <w:numPr>
          <w:ilvl w:val="0"/>
          <w:numId w:val="2"/>
        </w:numPr>
        <w:spacing w:after="40"/>
      </w:pPr>
      <w:r>
        <w:rPr>
          <w:rFonts w:ascii="Calibri" w:cs="Calibri" w:eastAsia="Calibri" w:hAnsi="Calibri"/>
          <w:b/>
          <w:bCs/>
          <w:sz w:val="21"/>
          <w:szCs w:val="21"/>
        </w:rPr>
        <w:t xml:space="preserve">5,000-Case Single-Day Sell-In:</w:t>
      </w:r>
      <w:r>
        <w:rPr>
          <w:rFonts w:ascii="Calibri" w:cs="Calibri" w:eastAsia="Calibri" w:hAnsi="Calibri"/>
          <w:sz w:val="21"/>
          <w:szCs w:val="21"/>
        </w:rPr>
        <w:t xml:space="preserve"> Negotiated directly with the Appleton Woodman's general manager on the first field day; the order catalyzed 84.5% volume growth at the account.</w:t>
      </w:r>
    </w:p>
    <w:p>
      <w:pPr>
        <w:keepNext/>
        <w:keepLines/>
        <w:tabs>
          <w:tab w:val="right" w:pos="10368"/>
        </w:tabs>
        <w:spacing w:after="0" w:before="120"/>
      </w:pPr>
      <w:r>
        <w:rPr>
          <w:rFonts w:ascii="Calibri" w:cs="Calibri" w:eastAsia="Calibri" w:hAnsi="Calibri"/>
          <w:b/>
          <w:bCs/>
          <w:sz w:val="21"/>
          <w:szCs w:val="21"/>
        </w:rPr>
        <w:t xml:space="preserve">T-Mobile Authorized Retailer</w:t>
      </w:r>
      <w:r>
        <w:rPr>
          <w:rFonts w:ascii="Calibri" w:cs="Calibri" w:eastAsia="Calibri" w:hAnsi="Calibri"/>
          <w:sz w:val="21"/>
          <w:szCs w:val="21"/>
        </w:rPr>
        <w:t xml:space="preserve"> (Oshkosh, WI)</w:t>
      </w:r>
      <w:r>
        <w:rPr>
          <w:rFonts w:ascii="Calibri" w:cs="Calibri" w:eastAsia="Calibri" w:hAnsi="Calibri"/>
          <w:sz w:val="21"/>
          <w:szCs w:val="21"/>
        </w:rPr>
        <w:t xml:space="preserve">	May 2016 – Jul 2017</w:t>
      </w:r>
    </w:p>
    <w:p>
      <w:pPr>
        <w:keepNext/>
        <w:spacing w:after="20" w:before="20"/>
      </w:pPr>
      <w:r>
        <w:rPr>
          <w:rFonts w:ascii="Calibri" w:cs="Calibri" w:eastAsia="Calibri" w:hAnsi="Calibri"/>
          <w:b/>
          <w:bCs/>
          <w:sz w:val="21"/>
          <w:szCs w:val="21"/>
        </w:rPr>
        <w:t xml:space="preserve">General Manager</w:t>
      </w:r>
    </w:p>
    <w:p>
      <w:pPr>
        <w:pStyle w:val="ListParagraph"/>
        <w:keepLines/>
        <w:numPr>
          <w:ilvl w:val="0"/>
          <w:numId w:val="2"/>
        </w:numPr>
        <w:spacing w:after="40"/>
      </w:pPr>
      <w:r>
        <w:rPr>
          <w:rFonts w:ascii="Calibri" w:cs="Calibri" w:eastAsia="Calibri" w:hAnsi="Calibri"/>
          <w:b/>
          <w:bCs/>
          <w:sz w:val="21"/>
          <w:szCs w:val="21"/>
        </w:rPr>
        <w:t xml:space="preserve">Top 10% Nationally in B2B | One-Third of District Revenue:</w:t>
      </w:r>
      <w:r>
        <w:rPr>
          <w:rFonts w:ascii="Calibri" w:cs="Calibri" w:eastAsia="Calibri" w:hAnsi="Calibri"/>
          <w:sz w:val="21"/>
          <w:szCs w:val="21"/>
        </w:rPr>
        <w:t xml:space="preserve"> Launched the location's first B2B program with zero corporate leads, building a commercial pipeline from scratch by pitching 1099 owner-operators at local freight stops and area SMBs. Reached the top 10% nationally within one year.</w:t>
      </w:r>
    </w:p>
    <w:p>
      <w:pPr>
        <w:pStyle w:val="ListParagraph"/>
        <w:keepLines/>
        <w:numPr>
          <w:ilvl w:val="0"/>
          <w:numId w:val="2"/>
        </w:numPr>
        <w:spacing w:after="40"/>
      </w:pPr>
      <w:r>
        <w:rPr>
          <w:rFonts w:ascii="Calibri" w:cs="Calibri" w:eastAsia="Calibri" w:hAnsi="Calibri"/>
          <w:b/>
          <w:bCs/>
          <w:sz w:val="21"/>
          <w:szCs w:val="21"/>
        </w:rPr>
        <w:t xml:space="preserve">Promoted to GM in 10 Days | Profitable in 90:</w:t>
      </w:r>
      <w:r>
        <w:rPr>
          <w:rFonts w:ascii="Calibri" w:cs="Calibri" w:eastAsia="Calibri" w:hAnsi="Calibri"/>
          <w:sz w:val="21"/>
          <w:szCs w:val="21"/>
        </w:rPr>
        <w:t xml:space="preserve"> Promoted from sales representative during an abrupt leadership departure. Cleared a two-month trade-in backlog, rebuilt scheduling and coaching structure, and returned an unprofitable location to profitability within 90 days.</w:t>
      </w:r>
    </w:p>
    <w:p>
      <w:pPr>
        <w:pStyle w:val="ListParagraph"/>
        <w:keepLines/>
        <w:numPr>
          <w:ilvl w:val="0"/>
          <w:numId w:val="2"/>
        </w:numPr>
        <w:spacing w:after="40"/>
      </w:pPr>
      <w:r>
        <w:rPr>
          <w:rFonts w:ascii="Calibri" w:cs="Calibri" w:eastAsia="Calibri" w:hAnsi="Calibri"/>
          <w:b/>
          <w:bCs/>
          <w:sz w:val="21"/>
          <w:szCs w:val="21"/>
        </w:rPr>
        <w:t xml:space="preserve">3-Minute Inventory Counts:</w:t>
      </w:r>
      <w:r>
        <w:rPr>
          <w:rFonts w:ascii="Calibri" w:cs="Calibri" w:eastAsia="Calibri" w:hAnsi="Calibri"/>
          <w:sz w:val="21"/>
          <w:szCs w:val="21"/>
        </w:rPr>
        <w:t xml:space="preserve"> Built an Excel tool connected to handheld scanners, cutting daily phone inventory counts from a lengthy manual process to under three minutes.</w:t>
      </w:r>
    </w:p>
    <w:p>
      <w:pPr>
        <w:keepNext/>
        <w:pBdr>
          <w:bottom w:val="single" w:color="000000" w:sz="6" w:space="2"/>
        </w:pBdr>
        <w:spacing w:after="50" w:before="160"/>
      </w:pPr>
      <w:r>
        <w:rPr>
          <w:rFonts w:ascii="Calibri" w:cs="Calibri" w:eastAsia="Calibri" w:hAnsi="Calibri"/>
          <w:b/>
          <w:bCs/>
          <w:sz w:val="22"/>
          <w:szCs w:val="22"/>
        </w:rPr>
        <w:t xml:space="preserve">EDUCATION</w:t>
      </w:r>
    </w:p>
    <w:p>
      <w:pPr>
        <w:spacing w:after="0"/>
      </w:pPr>
      <w:r>
        <w:rPr>
          <w:rFonts w:ascii="Calibri" w:cs="Calibri" w:eastAsia="Calibri" w:hAnsi="Calibri"/>
          <w:b/>
          <w:bCs/>
          <w:sz w:val="21"/>
          <w:szCs w:val="21"/>
        </w:rPr>
        <w:t xml:space="preserve">Bachelor of Science — Biology / Healthcare Science</w:t>
      </w:r>
      <w:r>
        <w:rPr>
          <w:rFonts w:ascii="Calibri" w:cs="Calibri" w:eastAsia="Calibri" w:hAnsi="Calibri"/>
          <w:sz w:val="21"/>
          <w:szCs w:val="21"/>
        </w:rPr>
        <w:t xml:space="preserve">  |  University of Wisconsin–Oshkosh  |  2012–2016</w:t>
      </w:r>
    </w:p>
    <w:sectPr>
      <w:pgSz w:w="12240" w:h="15840" w:orient="portrait"/>
      <w:pgMar w:top="648" w:right="936" w:bottom="648"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2026-08-07T21:08:30.369Z</dcterms:created>
  <dcterms:modified xsi:type="dcterms:W3CDTF">2026-08-07T21:08:30.369Z</dcterms:modified>
</cp:coreProperties>
</file>

<file path=docProps/custom.xml><?xml version="1.0" encoding="utf-8"?>
<Properties xmlns="http://schemas.openxmlformats.org/officeDocument/2006/custom-properties" xmlns:vt="http://schemas.openxmlformats.org/officeDocument/2006/docPropsVTypes"/>
</file>