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2026 年台灣 AI 產業發展研究報告：從算力基建邁向代理型 AI 全面落地</w:t>
      </w:r>
    </w:p>
    <w:p>
      <w:pPr>
        <w:spacing w:after="120" w:before="120" w:line="360"/>
        <w:jc w:val="center"/>
      </w:pPr>
      <w:r>
        <w:t xml:space="preserve">日期：2026-02-27</w:t>
      </w:r>
    </w:p>
    <w:p>
      <w:r>
        <w:t xml:space="preserve"/>
      </w:r>
    </w:p>
    <w:sdt>
      <w:sdtPr>
        <w:alias w:val="目錄 (Table of Contents)"/>
      </w:sdtPr>
      <w:sdtContent>
        <w:p>
          <w:r>
            <w:fldChar w:fldCharType="begin" w:dirty="true"/>
            <w:instrText xml:space="preserve">TOC \h \o "1-3"</w:instrText>
            <w:fldChar w:fldCharType="separate"/>
          </w:r>
        </w:p>
        <w:p>
          <w:r>
            <w:fldChar w:fldCharType="end"/>
          </w:r>
        </w:p>
      </w:sdtContent>
    </w:sdt>
    <w:p>
      <w:pPr>
        <w:pStyle w:val="Heading2"/>
      </w:pPr>
      <w:r>
        <w:t xml:space="preserve">摘要</w:t>
      </w:r>
    </w:p>
    <w:p>
      <w:pPr>
        <w:spacing w:after="120" w:before="120" w:line="360"/>
        <w:jc w:val="left"/>
      </w:pPr>
      <w:r>
        <w:t xml:space="preserve">2026 年是台灣 AI 產業發展的「關鍵轉折年」。隨著生成式 AI 跨越了早期的實驗階段，全球產業正式進入「代理型 AI（Agentic AI）」的大規模落地期。台灣憑藉在全球半導體及 AI 伺服器供應鏈中超過 80% 的關鍵零件市佔率，成為這波技術浪潮的核心推動力。根據最新數據，台灣 2026 年 GDP 成長率受 AI 需求強勁拉動，預測上修至 7.71%，創下近年新高。</w:t>
      </w:r>
    </w:p>
    <w:p>
      <w:pPr>
        <w:spacing w:after="120" w:before="120" w:line="360"/>
        <w:jc w:val="left"/>
      </w:pPr>
      <w:r>
        <w:t xml:space="preserve">本報告指出，台灣 AI 產業正經歷三項重大轉型：第一，從「硬體代工」轉向「系統解決方案」；第二，半導體製程進入 2 奈米（N2）量產階段，並與先進封裝（CoWoS-L/S）緊密結合；第三，國內《人工智慧基本法》的正式施行，為 AI 治理與風險分級管理建立了明確法規。儘管面臨記憶體價格飆升 130% 帶來的終端電子產品售價上揚，以及能源電力供應的結構性挑戰，台灣在 2026 年依然維持其作為「全球 AI 算力心臟」的戰略地位。</w:t>
      </w:r>
    </w:p>
    <w:p>
      <w:pPr>
        <w:pStyle w:val="Heading2"/>
      </w:pPr>
      <w:r>
        <w:t xml:space="preserve">第一章：2026 年全球 AI 產業發展趨勢展望</w:t>
      </w:r>
    </w:p>
    <w:p>
      <w:pPr>
        <w:pStyle w:val="Heading3"/>
      </w:pPr>
      <w:r>
        <w:t xml:space="preserve">1.1 代理型 AI（Agentic AI）成為企業標準配備</w:t>
      </w:r>
    </w:p>
    <w:p>
      <w:pPr>
        <w:spacing w:after="120" w:before="120" w:line="360"/>
        <w:jc w:val="left"/>
      </w:pPr>
      <w:r>
        <w:t xml:space="preserve">2024 年是 LLM（大型語言模型）的爆發期，2025 年是應用的探索期，而 2026 年則正式進入「代理型企業（Agentic Enterprise）」時代。AI 不再只是回答問題的聊天機器人，而是具備「規劃、執行、反思、修正」循環的自主代理人（Agents）。</w:t>
      </w:r>
    </w:p>
    <w:p>
      <w:pPr>
        <w:spacing w:after="120" w:before="120" w:line="360"/>
        <w:jc w:val="left"/>
      </w:pPr>
      <w:r>
        <w:t xml:space="preserve">全球 CIO 對 AI 的採用率在 2026 年成長了 282%。領先企業已開始部署「多代理系統（Multi-Agent Systems）」，透過不同專業領域的 AI Agents 協作完成複雜的業務流程（如自動化供應鏈管理、實時詐騙預測與阻斷）。IDC 預測，到 2026 年底，全球有 45% 的組織將大規模協調整合 AI 代理。</w:t>
      </w:r>
    </w:p>
    <w:p>
      <w:pPr>
        <w:pStyle w:val="Heading3"/>
      </w:pPr>
      <w:r>
        <w:t xml:space="preserve">1.2 主權 AI 與在地化算力的軍備競賽</w:t>
      </w:r>
    </w:p>
    <w:p>
      <w:pPr>
        <w:spacing w:after="120" w:before="120" w:line="360"/>
        <w:jc w:val="left"/>
      </w:pPr>
      <w:r>
        <w:t xml:space="preserve">各國政府在 2026 年更加重視「主權 AI（Sovereign AI）」。為了確保數據隱私、文化主權與技術自主，各國紛紛建立專屬的國家級 AI 資料中心。這推升了對高效能運算（HPC）晶片及特定應用積體電路（ASIC）的持續需求，也讓台灣的代工產能成為全球爭奪的戰略物資。</w:t>
      </w:r>
    </w:p>
    <w:p>
      <w:pPr>
        <w:pStyle w:val="Heading3"/>
      </w:pPr>
      <w:r>
        <w:t xml:space="preserve">1.3 表格：2024-2026 全球 AI 硬體與服務市場規模對比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526"/>
      </w:tblGrid>
      <w:tr>
        <w:tc>
          <w:tcPr>
            <w:tcBorders>
              <w:top w:val="single" w:color="CCCCCC" w:sz="1"/>
              <w:left w:val="single" w:color="CCCCCC" w:sz="1"/>
              <w:bottom w:val="single" w:color="CCCCCC" w:sz="1"/>
              <w:right w:val="single" w:color="CCCCCC" w:sz="1"/>
            </w:tcBorders>
            <w:shd w:fill="E6E6E6" w:val="clear"/>
          </w:tcPr>
          <w:p>
            <w:r>
              <w:rPr>
                <w:b/>
                <w:bCs/>
              </w:rPr>
              <w:t xml:space="preserve">年份</w:t>
            </w:r>
          </w:p>
        </w:tc>
        <w:tc>
          <w:tcPr>
            <w:tcBorders>
              <w:top w:val="single" w:color="CCCCCC" w:sz="1"/>
              <w:left w:val="single" w:color="CCCCCC" w:sz="1"/>
              <w:bottom w:val="single" w:color="CCCCCC" w:sz="1"/>
              <w:right w:val="single" w:color="CCCCCC" w:sz="1"/>
            </w:tcBorders>
            <w:shd w:fill="E6E6E6" w:val="clear"/>
          </w:tcPr>
          <w:p>
            <w:r>
              <w:rPr>
                <w:b/>
                <w:bCs/>
              </w:rPr>
              <w:t xml:space="preserve">全球 AI 硬體市場 (億美元)</w:t>
            </w:r>
          </w:p>
        </w:tc>
        <w:tc>
          <w:tcPr>
            <w:tcBorders>
              <w:top w:val="single" w:color="CCCCCC" w:sz="1"/>
              <w:left w:val="single" w:color="CCCCCC" w:sz="1"/>
              <w:bottom w:val="single" w:color="CCCCCC" w:sz="1"/>
              <w:right w:val="single" w:color="CCCCCC" w:sz="1"/>
            </w:tcBorders>
            <w:shd w:fill="E6E6E6" w:val="clear"/>
          </w:tcPr>
          <w:p>
            <w:r>
              <w:rPr>
                <w:b/>
                <w:bCs/>
              </w:rPr>
              <w:t xml:space="preserve">全球 AI 軟體與服務 (億美元)</w:t>
            </w:r>
          </w:p>
        </w:tc>
        <w:tc>
          <w:tcPr>
            <w:tcBorders>
              <w:top w:val="single" w:color="CCCCCC" w:sz="1"/>
              <w:left w:val="single" w:color="CCCCCC" w:sz="1"/>
              <w:bottom w:val="single" w:color="CCCCCC" w:sz="1"/>
              <w:right w:val="single" w:color="CCCCCC" w:sz="1"/>
            </w:tcBorders>
            <w:shd w:fill="E6E6E6" w:val="clear"/>
          </w:tcPr>
          <w:p>
            <w:r>
              <w:rPr>
                <w:b/>
                <w:bCs/>
              </w:rPr>
              <w:t xml:space="preserve">年成長率 (%)</w:t>
            </w:r>
          </w:p>
        </w:tc>
      </w:tr>
      <w:tr>
        <w:tc>
          <w:tcPr>
            <w:tcBorders>
              <w:top w:val="single" w:color="CCCCCC" w:sz="1"/>
              <w:left w:val="single" w:color="CCCCCC" w:sz="1"/>
              <w:bottom w:val="single" w:color="CCCCCC" w:sz="1"/>
              <w:right w:val="single" w:color="CCCCCC" w:sz="1"/>
            </w:tcBorders>
          </w:tcPr>
          <w:p>
            <w:r>
              <w:t xml:space="preserve">2024</w:t>
            </w:r>
          </w:p>
        </w:tc>
        <w:tc>
          <w:tcPr>
            <w:tcBorders>
              <w:top w:val="single" w:color="CCCCCC" w:sz="1"/>
              <w:left w:val="single" w:color="CCCCCC" w:sz="1"/>
              <w:bottom w:val="single" w:color="CCCCCC" w:sz="1"/>
              <w:right w:val="single" w:color="CCCCCC" w:sz="1"/>
            </w:tcBorders>
          </w:tcPr>
          <w:p>
            <w:r>
              <w:t xml:space="preserve">1,850</w:t>
            </w:r>
          </w:p>
        </w:tc>
        <w:tc>
          <w:tcPr>
            <w:tcBorders>
              <w:top w:val="single" w:color="CCCCCC" w:sz="1"/>
              <w:left w:val="single" w:color="CCCCCC" w:sz="1"/>
              <w:bottom w:val="single" w:color="CCCCCC" w:sz="1"/>
              <w:right w:val="single" w:color="CCCCCC" w:sz="1"/>
            </w:tcBorders>
          </w:tcPr>
          <w:p>
            <w:r>
              <w:t xml:space="preserve">2,100</w:t>
            </w:r>
          </w:p>
        </w:tc>
        <w:tc>
          <w:tcPr>
            <w:tcBorders>
              <w:top w:val="single" w:color="CCCCCC" w:sz="1"/>
              <w:left w:val="single" w:color="CCCCCC" w:sz="1"/>
              <w:bottom w:val="single" w:color="CCCCCC" w:sz="1"/>
              <w:right w:val="single" w:color="CCCCCC" w:sz="1"/>
            </w:tcBorders>
          </w:tcPr>
          <w:p>
            <w:r>
              <w:t xml:space="preserve">28.5%</w:t>
            </w:r>
          </w:p>
        </w:tc>
      </w:tr>
      <w:tr>
        <w:tc>
          <w:tcPr>
            <w:tcBorders>
              <w:top w:val="single" w:color="CCCCCC" w:sz="1"/>
              <w:left w:val="single" w:color="CCCCCC" w:sz="1"/>
              <w:bottom w:val="single" w:color="CCCCCC" w:sz="1"/>
              <w:right w:val="single" w:color="CCCCCC" w:sz="1"/>
            </w:tcBorders>
          </w:tcPr>
          <w:p>
            <w:r>
              <w:t xml:space="preserve">2025</w:t>
            </w:r>
          </w:p>
        </w:tc>
        <w:tc>
          <w:tcPr>
            <w:tcBorders>
              <w:top w:val="single" w:color="CCCCCC" w:sz="1"/>
              <w:left w:val="single" w:color="CCCCCC" w:sz="1"/>
              <w:bottom w:val="single" w:color="CCCCCC" w:sz="1"/>
              <w:right w:val="single" w:color="CCCCCC" w:sz="1"/>
            </w:tcBorders>
          </w:tcPr>
          <w:p>
            <w:r>
              <w:t xml:space="preserve">3,500</w:t>
            </w:r>
          </w:p>
        </w:tc>
        <w:tc>
          <w:tcPr>
            <w:tcBorders>
              <w:top w:val="single" w:color="CCCCCC" w:sz="1"/>
              <w:left w:val="single" w:color="CCCCCC" w:sz="1"/>
              <w:bottom w:val="single" w:color="CCCCCC" w:sz="1"/>
              <w:right w:val="single" w:color="CCCCCC" w:sz="1"/>
            </w:tcBorders>
          </w:tcPr>
          <w:p>
            <w:r>
              <w:t xml:space="preserve">4,200</w:t>
            </w:r>
          </w:p>
        </w:tc>
        <w:tc>
          <w:tcPr>
            <w:tcBorders>
              <w:top w:val="single" w:color="CCCCCC" w:sz="1"/>
              <w:left w:val="single" w:color="CCCCCC" w:sz="1"/>
              <w:bottom w:val="single" w:color="CCCCCC" w:sz="1"/>
              <w:right w:val="single" w:color="CCCCCC" w:sz="1"/>
            </w:tcBorders>
          </w:tcPr>
          <w:p>
            <w:r>
              <w:t xml:space="preserve">35.2%</w:t>
            </w:r>
          </w:p>
        </w:tc>
      </w:tr>
      <w:tr>
        <w:tc>
          <w:tcPr>
            <w:tcBorders>
              <w:top w:val="single" w:color="CCCCCC" w:sz="1"/>
              <w:left w:val="single" w:color="CCCCCC" w:sz="1"/>
              <w:bottom w:val="single" w:color="CCCCCC" w:sz="1"/>
              <w:right w:val="single" w:color="CCCCCC" w:sz="1"/>
            </w:tcBorders>
          </w:tcPr>
          <w:p>
            <w:r>
              <w:t xml:space="preserve">2026 (預)</w:t>
            </w:r>
          </w:p>
        </w:tc>
        <w:tc>
          <w:tcPr>
            <w:tcBorders>
              <w:top w:val="single" w:color="CCCCCC" w:sz="1"/>
              <w:left w:val="single" w:color="CCCCCC" w:sz="1"/>
              <w:bottom w:val="single" w:color="CCCCCC" w:sz="1"/>
              <w:right w:val="single" w:color="CCCCCC" w:sz="1"/>
            </w:tcBorders>
          </w:tcPr>
          <w:p>
            <w:r>
              <w:t xml:space="preserve">4,800</w:t>
            </w:r>
          </w:p>
        </w:tc>
        <w:tc>
          <w:tcPr>
            <w:tcBorders>
              <w:top w:val="single" w:color="CCCCCC" w:sz="1"/>
              <w:left w:val="single" w:color="CCCCCC" w:sz="1"/>
              <w:bottom w:val="single" w:color="CCCCCC" w:sz="1"/>
              <w:right w:val="single" w:color="CCCCCC" w:sz="1"/>
            </w:tcBorders>
          </w:tcPr>
          <w:p>
            <w:r>
              <w:t xml:space="preserve">6,250</w:t>
            </w:r>
          </w:p>
        </w:tc>
        <w:tc>
          <w:tcPr>
            <w:tcBorders>
              <w:top w:val="single" w:color="CCCCCC" w:sz="1"/>
              <w:left w:val="single" w:color="CCCCCC" w:sz="1"/>
              <w:bottom w:val="single" w:color="CCCCCC" w:sz="1"/>
              <w:right w:val="single" w:color="CCCCCC" w:sz="1"/>
            </w:tcBorders>
          </w:tcPr>
          <w:p>
            <w:r>
              <w:t xml:space="preserve">26.8%</w:t>
            </w:r>
          </w:p>
        </w:tc>
      </w:tr>
    </w:tbl>
    <w:p>
      <w:pPr>
        <w:pStyle w:val="Heading2"/>
      </w:pPr>
      <w:r>
        <w:t xml:space="preserve">第二章：台灣 AI 產業現況與核心競爭力分析</w:t>
      </w:r>
    </w:p>
    <w:p>
      <w:pPr>
        <w:pStyle w:val="Heading3"/>
      </w:pPr>
      <w:r>
        <w:t xml:space="preserve">2.1 半導體領航：台積電 2 奈米與 CoWoS 產能爆發</w:t>
      </w:r>
    </w:p>
    <w:p>
      <w:pPr>
        <w:spacing w:after="120" w:before="120" w:line="360"/>
        <w:jc w:val="left"/>
      </w:pPr>
      <w:r>
        <w:t xml:space="preserve">台灣在 2026 年的半導體產值預計突破新台幣 7 兆元。台積電（TSMC）的 2 奈米製程在 2026 年正式進入量產爬坡期，成為高效能運算晶片的唯一首選。同時，為了解決記憶體頻寬瓶頸，先進封裝技術如 CoWoS-L 的月產能已較 2024 年成長 4 倍以上。</w:t>
      </w:r>
    </w:p>
    <w:p>
      <w:pPr>
        <w:pStyle w:val="Heading3"/>
      </w:pPr>
      <w:r>
        <w:t xml:space="preserve">2.2 AI 伺服器：台灣供應鏈的「史詩級大年」</w:t>
      </w:r>
    </w:p>
    <w:p>
      <w:pPr>
        <w:spacing w:after="120" w:before="120" w:line="360"/>
        <w:jc w:val="left"/>
      </w:pPr>
      <w:r>
        <w:t xml:space="preserve">2026 年被業界稱為台灣 AI 伺服器的史詩級年份。全球伺服器市場出貨量達到 1,500 萬台，其中 AI 伺服器佔比提升至 30%（約 450 萬台）。台灣代工大廠（廣達、鴻海、緯創、英業達等）在機櫃級 AI 平台、液冷散熱方案及高壓直流供電系統中佔據了全球 90% 以上的市佔率。</w:t>
      </w:r>
    </w:p>
    <w:p>
      <w:pPr>
        <w:pStyle w:val="Heading3"/>
      </w:pPr>
      <w:r>
        <w:t xml:space="preserve">2.3 表格：2026 年台灣 AI 伺服器主要業者預估出貨量分佈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Borders>
              <w:top w:val="single" w:color="CCCCCC" w:sz="1"/>
              <w:left w:val="single" w:color="CCCCCC" w:sz="1"/>
              <w:bottom w:val="single" w:color="CCCCCC" w:sz="1"/>
              <w:right w:val="single" w:color="CCCCCC" w:sz="1"/>
            </w:tcBorders>
            <w:shd w:fill="E6E6E6" w:val="clear"/>
          </w:tcPr>
          <w:p>
            <w:r>
              <w:rPr>
                <w:b/>
                <w:bCs/>
              </w:rPr>
              <w:t xml:space="preserve">業者名稱</w:t>
            </w:r>
          </w:p>
        </w:tc>
        <w:tc>
          <w:tcPr>
            <w:tcBorders>
              <w:top w:val="single" w:color="CCCCCC" w:sz="1"/>
              <w:left w:val="single" w:color="CCCCCC" w:sz="1"/>
              <w:bottom w:val="single" w:color="CCCCCC" w:sz="1"/>
              <w:right w:val="single" w:color="CCCCCC" w:sz="1"/>
            </w:tcBorders>
            <w:shd w:fill="E6E6E6" w:val="clear"/>
          </w:tcPr>
          <w:p>
            <w:r>
              <w:rPr>
                <w:b/>
                <w:bCs/>
              </w:rPr>
              <w:t xml:space="preserve">預估 AI 伺服器出貨量 (萬台)</w:t>
            </w:r>
          </w:p>
        </w:tc>
        <w:tc>
          <w:tcPr>
            <w:tcBorders>
              <w:top w:val="single" w:color="CCCCCC" w:sz="1"/>
              <w:left w:val="single" w:color="CCCCCC" w:sz="1"/>
              <w:bottom w:val="single" w:color="CCCCCC" w:sz="1"/>
              <w:right w:val="single" w:color="CCCCCC" w:sz="1"/>
            </w:tcBorders>
            <w:shd w:fill="E6E6E6" w:val="clear"/>
          </w:tcPr>
          <w:p>
            <w:r>
              <w:rPr>
                <w:b/>
                <w:bCs/>
              </w:rPr>
              <w:t xml:space="preserve">核心優勢</w:t>
            </w:r>
          </w:p>
        </w:tc>
        <w:tc>
          <w:tcPr>
            <w:tcBorders>
              <w:top w:val="single" w:color="CCCCCC" w:sz="1"/>
              <w:left w:val="single" w:color="CCCCCC" w:sz="1"/>
              <w:bottom w:val="single" w:color="CCCCCC" w:sz="1"/>
              <w:right w:val="single" w:color="CCCCCC" w:sz="1"/>
            </w:tcBorders>
            <w:shd w:fill="E6E6E6" w:val="clear"/>
          </w:tcPr>
          <w:p>
            <w:r>
              <w:rPr>
                <w:b/>
                <w:bCs/>
              </w:rPr>
              <w:t xml:space="preserve">2026 主要增長點</w:t>
            </w:r>
          </w:p>
        </w:tc>
      </w:tr>
      <w:tr>
        <w:tc>
          <w:tcPr>
            <w:tcBorders>
              <w:top w:val="single" w:color="CCCCCC" w:sz="1"/>
              <w:left w:val="single" w:color="CCCCCC" w:sz="1"/>
              <w:bottom w:val="single" w:color="CCCCCC" w:sz="1"/>
              <w:right w:val="single" w:color="CCCCCC" w:sz="1"/>
            </w:tcBorders>
          </w:tcPr>
          <w:p>
            <w:r>
              <w:t xml:space="preserve">鴻海</w:t>
            </w:r>
          </w:p>
        </w:tc>
        <w:tc>
          <w:tcPr>
            <w:tcBorders>
              <w:top w:val="single" w:color="CCCCCC" w:sz="1"/>
              <w:left w:val="single" w:color="CCCCCC" w:sz="1"/>
              <w:bottom w:val="single" w:color="CCCCCC" w:sz="1"/>
              <w:right w:val="single" w:color="CCCCCC" w:sz="1"/>
            </w:tcBorders>
          </w:tcPr>
          <w:p>
            <w:r>
              <w:t xml:space="preserve">180</w:t>
            </w:r>
          </w:p>
        </w:tc>
        <w:tc>
          <w:tcPr>
            <w:tcBorders>
              <w:top w:val="single" w:color="CCCCCC" w:sz="1"/>
              <w:left w:val="single" w:color="CCCCCC" w:sz="1"/>
              <w:bottom w:val="single" w:color="CCCCCC" w:sz="1"/>
              <w:right w:val="single" w:color="CCCCCC" w:sz="1"/>
            </w:tcBorders>
          </w:tcPr>
          <w:p>
            <w:r>
              <w:t xml:space="preserve">整機垂直整合、全球布局</w:t>
            </w:r>
          </w:p>
        </w:tc>
        <w:tc>
          <w:tcPr>
            <w:tcBorders>
              <w:top w:val="single" w:color="CCCCCC" w:sz="1"/>
              <w:left w:val="single" w:color="CCCCCC" w:sz="1"/>
              <w:bottom w:val="single" w:color="CCCCCC" w:sz="1"/>
              <w:right w:val="single" w:color="CCCCCC" w:sz="1"/>
            </w:tcBorders>
          </w:tcPr>
          <w:p>
            <w:r>
              <w:t xml:space="preserve">GB300/Rubin 平台組裝</w:t>
            </w:r>
          </w:p>
        </w:tc>
      </w:tr>
      <w:tr>
        <w:tc>
          <w:tcPr>
            <w:tcBorders>
              <w:top w:val="single" w:color="CCCCCC" w:sz="1"/>
              <w:left w:val="single" w:color="CCCCCC" w:sz="1"/>
              <w:bottom w:val="single" w:color="CCCCCC" w:sz="1"/>
              <w:right w:val="single" w:color="CCCCCC" w:sz="1"/>
            </w:tcBorders>
          </w:tcPr>
          <w:p>
            <w:r>
              <w:t xml:space="preserve">廣達</w:t>
            </w:r>
          </w:p>
        </w:tc>
        <w:tc>
          <w:tcPr>
            <w:tcBorders>
              <w:top w:val="single" w:color="CCCCCC" w:sz="1"/>
              <w:left w:val="single" w:color="CCCCCC" w:sz="1"/>
              <w:bottom w:val="single" w:color="CCCCCC" w:sz="1"/>
              <w:right w:val="single" w:color="CCCCCC" w:sz="1"/>
            </w:tcBorders>
          </w:tcPr>
          <w:p>
            <w:r>
              <w:t xml:space="preserve">135</w:t>
            </w:r>
          </w:p>
        </w:tc>
        <w:tc>
          <w:tcPr>
            <w:tcBorders>
              <w:top w:val="single" w:color="CCCCCC" w:sz="1"/>
              <w:left w:val="single" w:color="CCCCCC" w:sz="1"/>
              <w:bottom w:val="single" w:color="CCCCCC" w:sz="1"/>
              <w:right w:val="single" w:color="CCCCCC" w:sz="1"/>
            </w:tcBorders>
          </w:tcPr>
          <w:p>
            <w:r>
              <w:t xml:space="preserve">雲端服務商 (CSP) 深度綁定</w:t>
            </w:r>
          </w:p>
        </w:tc>
        <w:tc>
          <w:tcPr>
            <w:tcBorders>
              <w:top w:val="single" w:color="CCCCCC" w:sz="1"/>
              <w:left w:val="single" w:color="CCCCCC" w:sz="1"/>
              <w:bottom w:val="single" w:color="CCCCCC" w:sz="1"/>
              <w:right w:val="single" w:color="CCCCCC" w:sz="1"/>
            </w:tcBorders>
          </w:tcPr>
          <w:p>
            <w:r>
              <w:t xml:space="preserve">L10-12 組裝、液冷散熱</w:t>
            </w:r>
          </w:p>
        </w:tc>
      </w:tr>
      <w:tr>
        <w:tc>
          <w:tcPr>
            <w:tcBorders>
              <w:top w:val="single" w:color="CCCCCC" w:sz="1"/>
              <w:left w:val="single" w:color="CCCCCC" w:sz="1"/>
              <w:bottom w:val="single" w:color="CCCCCC" w:sz="1"/>
              <w:right w:val="single" w:color="CCCCCC" w:sz="1"/>
            </w:tcBorders>
          </w:tcPr>
          <w:p>
            <w:r>
              <w:t xml:space="preserve">緯創</w:t>
            </w:r>
          </w:p>
        </w:tc>
        <w:tc>
          <w:tcPr>
            <w:tcBorders>
              <w:top w:val="single" w:color="CCCCCC" w:sz="1"/>
              <w:left w:val="single" w:color="CCCCCC" w:sz="1"/>
              <w:bottom w:val="single" w:color="CCCCCC" w:sz="1"/>
              <w:right w:val="single" w:color="CCCCCC" w:sz="1"/>
            </w:tcBorders>
          </w:tcPr>
          <w:p>
            <w:r>
              <w:t xml:space="preserve">85</w:t>
            </w:r>
          </w:p>
        </w:tc>
        <w:tc>
          <w:tcPr>
            <w:tcBorders>
              <w:top w:val="single" w:color="CCCCCC" w:sz="1"/>
              <w:left w:val="single" w:color="CCCCCC" w:sz="1"/>
              <w:bottom w:val="single" w:color="CCCCCC" w:sz="1"/>
              <w:right w:val="single" w:color="CCCCCC" w:sz="1"/>
            </w:tcBorders>
          </w:tcPr>
          <w:p>
            <w:r>
              <w:t xml:space="preserve">AI 運算基板 (UB) 主導地位</w:t>
            </w:r>
          </w:p>
        </w:tc>
        <w:tc>
          <w:tcPr>
            <w:tcBorders>
              <w:top w:val="single" w:color="CCCCCC" w:sz="1"/>
              <w:left w:val="single" w:color="CCCCCC" w:sz="1"/>
              <w:bottom w:val="single" w:color="CCCCCC" w:sz="1"/>
              <w:right w:val="single" w:color="CCCCCC" w:sz="1"/>
            </w:tcBorders>
          </w:tcPr>
          <w:p>
            <w:r>
              <w:t xml:space="preserve">H200/B200 基板供應</w:t>
            </w:r>
          </w:p>
        </w:tc>
      </w:tr>
      <w:tr>
        <w:tc>
          <w:tcPr>
            <w:tcBorders>
              <w:top w:val="single" w:color="CCCCCC" w:sz="1"/>
              <w:left w:val="single" w:color="CCCCCC" w:sz="1"/>
              <w:bottom w:val="single" w:color="CCCCCC" w:sz="1"/>
              <w:right w:val="single" w:color="CCCCCC" w:sz="1"/>
            </w:tcBorders>
          </w:tcPr>
          <w:p>
            <w:r>
              <w:t xml:space="preserve">其他</w:t>
            </w:r>
          </w:p>
        </w:tc>
        <w:tc>
          <w:tcPr>
            <w:tcBorders>
              <w:top w:val="single" w:color="CCCCCC" w:sz="1"/>
              <w:left w:val="single" w:color="CCCCCC" w:sz="1"/>
              <w:bottom w:val="single" w:color="CCCCCC" w:sz="1"/>
              <w:right w:val="single" w:color="CCCCCC" w:sz="1"/>
            </w:tcBorders>
          </w:tcPr>
          <w:p>
            <w:r>
              <w:t xml:space="preserve">50</w:t>
            </w:r>
          </w:p>
        </w:tc>
        <w:tc>
          <w:tcPr>
            <w:tcBorders>
              <w:top w:val="single" w:color="CCCCCC" w:sz="1"/>
              <w:left w:val="single" w:color="CCCCCC" w:sz="1"/>
              <w:bottom w:val="single" w:color="CCCCCC" w:sz="1"/>
              <w:right w:val="single" w:color="CCCCCC" w:sz="1"/>
            </w:tcBorders>
          </w:tcPr>
          <w:p>
            <w:r>
              <w:t xml:space="preserve">利基型市場 (Edge AI/Industrial AI)</w:t>
            </w:r>
          </w:p>
        </w:tc>
        <w:tc>
          <w:tcPr>
            <w:tcBorders>
              <w:top w:val="single" w:color="CCCCCC" w:sz="1"/>
              <w:left w:val="single" w:color="CCCCCC" w:sz="1"/>
              <w:bottom w:val="single" w:color="CCCCCC" w:sz="1"/>
              <w:right w:val="single" w:color="CCCCCC" w:sz="1"/>
            </w:tcBorders>
          </w:tcPr>
          <w:p>
            <w:r>
              <w:t xml:space="preserve">工業 4.0 垂直整合</w:t>
            </w:r>
          </w:p>
        </w:tc>
      </w:tr>
    </w:tbl>
    <w:p>
      <w:pPr>
        <w:pStyle w:val="Heading2"/>
      </w:pPr>
      <w:r>
        <w:t xml:space="preserve">第三章：台灣 AI 產業的 SWOT 分析</w:t>
      </w:r>
    </w:p>
    <w:p>
      <w:pPr>
        <w:pStyle w:val="Heading3"/>
      </w:pPr>
      <w:r>
        <w:t xml:space="preserve">3.1 強勢 (Strengths)</w:t>
      </w:r>
    </w:p>
    <w:p>
      <w:pPr>
        <w:pStyle w:val="ListParagraph"/>
        <w:numPr>
          <w:ilvl w:val="0"/>
          <w:numId w:val="2"/>
        </w:numPr>
        <w:spacing w:after="120" w:before="120" w:line="360"/>
        <w:jc w:val="left"/>
      </w:pPr>
      <w:r>
        <w:t xml:space="preserve">技術霸權：在 2nm 製程與先進封裝技術上領先全球 1-2 年。</w:t>
      </w:r>
    </w:p>
    <w:p>
      <w:pPr>
        <w:pStyle w:val="ListParagraph"/>
        <w:numPr>
          <w:ilvl w:val="0"/>
          <w:numId w:val="2"/>
        </w:numPr>
        <w:spacing w:after="120" w:before="120" w:line="360"/>
        <w:jc w:val="left"/>
      </w:pPr>
      <w:r>
        <w:t xml:space="preserve">產業群聚：從晶片設計（聯發科）、晶圓代工（台積電）到下游組裝（鴻海、廣達），具備完整的「一站式」供應鏈。</w:t>
      </w:r>
    </w:p>
    <w:p>
      <w:pPr>
        <w:pStyle w:val="ListParagraph"/>
        <w:numPr>
          <w:ilvl w:val="0"/>
          <w:numId w:val="2"/>
        </w:numPr>
        <w:spacing w:after="120" w:before="120" w:line="360"/>
        <w:jc w:val="left"/>
      </w:pPr>
      <w:r>
        <w:t xml:space="preserve">基礎建設優化：政府推動「AI 新十大建設」，大幅提升主權算力與 6G 通訊韌性。</w:t>
      </w:r>
    </w:p>
    <w:p>
      <w:pPr>
        <w:pStyle w:val="Heading3"/>
      </w:pPr>
      <w:r>
        <w:t xml:space="preserve">3.2 劣勢 (Weaknesses)</w:t>
      </w:r>
    </w:p>
    <w:p>
      <w:pPr>
        <w:pStyle w:val="ListParagraph"/>
        <w:numPr>
          <w:ilvl w:val="0"/>
          <w:numId w:val="2"/>
        </w:numPr>
        <w:spacing w:after="120" w:before="120" w:line="360"/>
        <w:jc w:val="left"/>
      </w:pPr>
      <w:r>
        <w:t xml:space="preserve">軟體應用生態破碎：雖然硬體強大，但在 AI 模型開發與軟體服務商（SaaS）的國際競爭力仍相對薄弱。</w:t>
      </w:r>
    </w:p>
    <w:p>
      <w:pPr>
        <w:pStyle w:val="ListParagraph"/>
        <w:numPr>
          <w:ilvl w:val="0"/>
          <w:numId w:val="2"/>
        </w:numPr>
        <w:spacing w:after="120" w:before="120" w:line="360"/>
        <w:jc w:val="left"/>
      </w:pPr>
      <w:r>
        <w:t xml:space="preserve">人才高度集中：優秀人才高度集中於半導體業，導致金融、製造等其他產業面臨 AI 轉型的人才荒。</w:t>
      </w:r>
    </w:p>
    <w:p>
      <w:pPr>
        <w:pStyle w:val="Heading3"/>
      </w:pPr>
      <w:r>
        <w:t xml:space="preserve">3.3 機會 (Opportunities)</w:t>
      </w:r>
    </w:p>
    <w:p>
      <w:pPr>
        <w:pStyle w:val="ListParagraph"/>
        <w:numPr>
          <w:ilvl w:val="0"/>
          <w:numId w:val="2"/>
        </w:numPr>
        <w:spacing w:after="120" w:before="120" w:line="360"/>
        <w:jc w:val="left"/>
      </w:pPr>
      <w:r>
        <w:t xml:space="preserve">邊緣運算（Edge AI）興起：2026 年 AI 智慧眼鏡與 AI Box 在垂直場景（如巡檢、醫療）中爆發，帶動工業電腦（IPC）業者（如研華、凌華）轉型。</w:t>
      </w:r>
    </w:p>
    <w:p>
      <w:pPr>
        <w:pStyle w:val="ListParagraph"/>
        <w:numPr>
          <w:ilvl w:val="0"/>
          <w:numId w:val="2"/>
        </w:numPr>
        <w:spacing w:after="120" w:before="120" w:line="360"/>
        <w:jc w:val="left"/>
      </w:pPr>
      <w:r>
        <w:t xml:space="preserve">永續 AI 方案：全球對綠電的要求讓具備高效能液冷技術的台灣廠商有更多變現機會。</w:t>
      </w:r>
    </w:p>
    <w:p>
      <w:pPr>
        <w:pStyle w:val="Heading3"/>
      </w:pPr>
      <w:r>
        <w:t xml:space="preserve">3.4 挑戰 (Threats)</w:t>
      </w:r>
    </w:p>
    <w:p>
      <w:pPr>
        <w:pStyle w:val="ListParagraph"/>
        <w:numPr>
          <w:ilvl w:val="0"/>
          <w:numId w:val="2"/>
        </w:numPr>
        <w:spacing w:after="120" w:before="120" w:line="360"/>
        <w:jc w:val="left"/>
      </w:pPr>
      <w:r>
        <w:t xml:space="preserve">能源缺口：2026 年 AI 資料中心的電力需求估計達 435 TWh，穩定的電力供應成為投資首要考量。</w:t>
      </w:r>
    </w:p>
    <w:p>
      <w:pPr>
        <w:pStyle w:val="ListParagraph"/>
        <w:numPr>
          <w:ilvl w:val="0"/>
          <w:numId w:val="2"/>
        </w:numPr>
        <w:spacing w:after="120" w:before="120" w:line="360"/>
        <w:jc w:val="left"/>
      </w:pPr>
      <w:r>
        <w:t xml:space="preserve">地緣政治風險：隨著先進製程與供應鏈去中心化壓力增加，出口管制風險提升。</w:t>
      </w:r>
    </w:p>
    <w:p>
      <w:pPr>
        <w:pStyle w:val="ListParagraph"/>
        <w:numPr>
          <w:ilvl w:val="0"/>
          <w:numId w:val="2"/>
        </w:numPr>
        <w:spacing w:after="120" w:before="120" w:line="360"/>
        <w:jc w:val="left"/>
      </w:pPr>
      <w:r>
        <w:t xml:space="preserve">零組件通膨：記憶體（HBM/DRAM/SSD）價格在 2026 年大漲 130%，推高終端產品成本。</w:t>
      </w:r>
    </w:p>
    <w:p>
      <w:pPr>
        <w:pStyle w:val="Heading2"/>
      </w:pPr>
      <w:r>
        <w:t xml:space="preserve">第四章：技術發展預測與 Agentic AI 實踐範例</w:t>
      </w:r>
    </w:p>
    <w:p>
      <w:pPr>
        <w:pStyle w:val="Heading3"/>
      </w:pPr>
      <w:r>
        <w:t xml:space="preserve">4.1 從「對話」到「決策」：Agentic AI 技術路徑</w:t>
      </w:r>
    </w:p>
    <w:p>
      <w:pPr>
        <w:spacing w:after="120" w:before="120" w:line="360"/>
        <w:jc w:val="left"/>
      </w:pPr>
      <w:r>
        <w:t xml:space="preserve">2026 年的技術重點在於「長文本記憶」與「工具調用（Tool Use）」。AI 代理必須能夠記住用戶數個月前的偏好，並能自主操作 API、數據庫，甚至實體設備。</w:t>
      </w:r>
    </w:p>
    <w:p>
      <w:pPr>
        <w:pStyle w:val="Heading3"/>
      </w:pPr>
      <w:r>
        <w:t xml:space="preserve">4.2 程式碼範例：建立一個自主式 Agentic 工作流 (Python)</w:t>
      </w:r>
    </w:p>
    <w:p>
      <w:pPr>
        <w:spacing w:after="120" w:before="120" w:line="360"/>
        <w:jc w:val="left"/>
      </w:pPr>
      <w:r>
        <w:t xml:space="preserve">以下是一個簡化的 2026 年主流 Agentic 框架範例，模擬一個 AI 代理如何自動偵測伺服器異常並自主規劃修復路徑。</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import time</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from typing import List, Dict</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模擬 2026 年高效能 AI Agent 基座類別</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class AgentNode:</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def __init__(self, name: str, capability: str):</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self.name = name</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self.capability = capability</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def execute(self, task: str) -&gt; str:</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print(f"[{self.name}] 正在執行任務: {task}...")</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time.sleep(1) # 模擬推論延遲</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return f"完成 {task} (結果: 成功)"</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class AgenticWorkflow:</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def __init__(self):</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self.monitor = AgentNode("監控代理", "異常偵測")</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self.analyzer = AgentNode("分析代理", "根本原因分析")</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self.executor = AgentNode("執行代理", "自動化修復")</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def run_workflow(self, system_id: str):</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print(f"--- 開始處理系統 {system_id} 的 Agentic 工作流 ---")</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status = self.monitor.execute(f"掃描系統 {system_id} 的液冷系統壓力")</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reason = self.analyzer.execute(f"分析壓力異常數據並規劃修復步驟")</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result = self.executor.execute(f"調整冷卻泵轉速並執行備份電源切換")</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print(f"--- 工作流完成。系統狀態：恢復正常 ---")</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if __name__ == "__main__":</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ai_system = AgenticWorkflow()</w:t>
      </w:r>
    </w:p>
    <w:p>
      <w:pPr>
        <w:pBdr>
          <w:top w:val="single" w:color="DDDDDD" w:sz="1"/>
          <w:bottom w:val="single" w:color="DDDDDD" w:sz="1"/>
          <w:left w:val="single" w:color="DDDDDD" w:sz="1"/>
          <w:right w:val="single" w:color="DDDDDD" w:sz="1"/>
        </w:pBdr>
        <w:shd w:fill="F5F5F5" w:val="clear"/>
        <w:spacing w:after="0" w:before="0"/>
        <w:ind w:left="240" w:right="240"/>
      </w:pPr>
      <w:r>
        <w:rPr>
          <w:rFonts w:ascii="Courier New" w:cs="Courier New" w:eastAsia="Courier New" w:hAnsi="Courier New"/>
          <w:sz w:val="20"/>
          <w:szCs w:val="20"/>
        </w:rPr>
        <w:t xml:space="preserve">    ai_system.run_workflow("SERVER-TW-2026-X1")</w:t>
      </w:r>
    </w:p>
    <w:p>
      <w:pPr>
        <w:spacing w:after="120" w:before="120" w:line="360"/>
        <w:jc w:val="left"/>
      </w:pPr>
      <w:r>
        <w:rPr>
          <w:b/>
          <w:bCs/>
        </w:rPr>
        <w:t xml:space="preserve">代碼逐行說明：</w:t>
      </w:r>
    </w:p>
    <w:p>
      <w:pPr>
        <w:spacing w:after="120" w:before="120" w:line="360"/>
        <w:jc w:val="left"/>
      </w:pPr>
      <w:r>
        <w:t xml:space="preserve">1. AgentNode 類別：定義了一個具備特定「能力」的代理節點。在 2026 年，這些節點通常搭載輕量化 SLM（小語言模型）以在地端執行。</w:t>
      </w:r>
    </w:p>
    <w:p>
      <w:pPr>
        <w:spacing w:after="120" w:before="120" w:line="360"/>
        <w:jc w:val="left"/>
      </w:pPr>
      <w:r>
        <w:t xml:space="preserve">2. execute 方法：模擬了代理人接收任務、進行推論並回傳結果的過程。</w:t>
      </w:r>
    </w:p>
    <w:p>
      <w:pPr>
        <w:spacing w:after="120" w:before="120" w:line="360"/>
        <w:jc w:val="left"/>
      </w:pPr>
      <w:r>
        <w:t xml:space="preserve">3. AgenticWorkflow 類別：這是 2026 年企業導入 AI 的核心架構——「Orchestrated Workforce」。它將監控、分析、執行三個代理人串聯起來。</w:t>
      </w:r>
    </w:p>
    <w:p>
      <w:pPr>
        <w:spacing w:after="120" w:before="120" w:line="360"/>
        <w:jc w:val="left"/>
      </w:pPr>
      <w:r>
        <w:t xml:space="preserve">4. 自主決策：與 2024 年的 Chatbot 不同，此工作流不需要人類介入「如果...則...」的判斷，而是由 AI Agent 自行規劃完成目標。</w:t>
      </w:r>
    </w:p>
    <w:p>
      <w:pPr>
        <w:pStyle w:val="Heading2"/>
      </w:pPr>
      <w:r>
        <w:t xml:space="preserve">第五章：垂直產業應用深度剖析</w:t>
      </w:r>
    </w:p>
    <w:p>
      <w:pPr>
        <w:pStyle w:val="Heading3"/>
      </w:pPr>
      <w:r>
        <w:t xml:space="preserve">5.1 智慧製造：實體 AI（Physical AI）落地</w:t>
      </w:r>
    </w:p>
    <w:p>
      <w:pPr>
        <w:spacing w:after="120" w:before="120" w:line="360"/>
        <w:jc w:val="left"/>
      </w:pPr>
      <w:r>
        <w:t xml:space="preserve">在 2026 年，台灣的中型製造商已廣泛採用「AI Box」地端推論設備。人形機器人與 AI 代理結合，在搬運、分類、甚至精準安裝零組件場景中開始輔助作業。這讓台灣製造業的生產效率平均提升了 22%。</w:t>
      </w:r>
    </w:p>
    <w:p>
      <w:pPr>
        <w:pStyle w:val="Heading3"/>
      </w:pPr>
      <w:r>
        <w:t xml:space="preserve">5.2 金融產業：從數位助理到數位管家</w:t>
      </w:r>
    </w:p>
    <w:p>
      <w:pPr>
        <w:spacing w:after="120" w:before="120" w:line="360"/>
        <w:jc w:val="left"/>
      </w:pPr>
      <w:r>
        <w:t xml:space="preserve">台灣金融業在 2026 年面臨「代理式商務」的變革。AI 代理能 24 小時預估市場流動性，並為銀行釋放 15-35% 的資金運用效能。個人端則出現了「數位財務管家」，能代表用戶自動篩選性價比最高的投資組合或進行保險理賠。</w:t>
      </w:r>
    </w:p>
    <w:p>
      <w:pPr>
        <w:pStyle w:val="Heading3"/>
      </w:pPr>
      <w:r>
        <w:t xml:space="preserve">5.3 醫療產業：AI 全流程輔助診斷</w:t>
      </w:r>
    </w:p>
    <w:p>
      <w:pPr>
        <w:spacing w:after="120" w:before="120" w:line="360"/>
        <w:jc w:val="left"/>
      </w:pPr>
      <w:r>
        <w:t xml:space="preserve">隨著《人工智慧基本法》對醫療 AI 風險分級的明確，台灣醫療機構普遍導入「多模態 AI」。AI 不僅能判讀影像，還能整合病人的基因數據與穿戴式設備資訊，提供預測性的健康建議，誤診率較 2024 年降低了 40%。</w:t>
      </w:r>
    </w:p>
    <w:p>
      <w:pPr>
        <w:pStyle w:val="Heading2"/>
      </w:pPr>
      <w:r>
        <w:t xml:space="preserve">第六章：政策建議與法規環境分析</w:t>
      </w:r>
    </w:p>
    <w:p>
      <w:pPr>
        <w:pStyle w:val="Heading3"/>
      </w:pPr>
      <w:r>
        <w:t xml:space="preserve">6.1 《人工智慧基本法》的施行影響</w:t>
      </w:r>
    </w:p>
    <w:p>
      <w:pPr>
        <w:spacing w:after="120" w:before="120" w:line="360"/>
        <w:jc w:val="left"/>
      </w:pPr>
      <w:r>
        <w:t xml:space="preserve">2026 年 1 月 14 日，台灣《人工智慧基本法》正式生效。此法案的核心在於「風險分級」：</w:t>
      </w:r>
    </w:p>
    <w:p>
      <w:pPr>
        <w:pStyle w:val="ListParagraph"/>
        <w:numPr>
          <w:ilvl w:val="0"/>
          <w:numId w:val="2"/>
        </w:numPr>
        <w:spacing w:after="120" w:before="120" w:line="360"/>
        <w:jc w:val="left"/>
      </w:pPr>
      <w:r>
        <w:t xml:space="preserve">高風險應用（如醫療診斷、關鍵基礎設施管理）：需強制執行驗證標示、責任保險與透明度揭露。</w:t>
      </w:r>
    </w:p>
    <w:p>
      <w:pPr>
        <w:pStyle w:val="ListParagraph"/>
        <w:numPr>
          <w:ilvl w:val="0"/>
          <w:numId w:val="2"/>
        </w:numPr>
        <w:spacing w:after="120" w:before="120" w:line="360"/>
        <w:jc w:val="left"/>
      </w:pPr>
      <w:r>
        <w:t xml:space="preserve">低風險應用：保持寬鬆，鼓勵創新與快速試錯。</w:t>
      </w:r>
    </w:p>
    <w:p>
      <w:pPr>
        <w:spacing w:after="120" w:before="120" w:line="360"/>
        <w:jc w:val="left"/>
      </w:pPr>
      <w:r>
        <w:t xml:space="preserve">這部法律雖然不具備嚴苛罰則，但它建立了企業與政府採購 AI 服務的「合規基準」，讓產業有跡可循。</w:t>
      </w:r>
    </w:p>
    <w:p>
      <w:pPr>
        <w:pStyle w:val="Heading3"/>
      </w:pPr>
      <w:r>
        <w:t xml:space="preserve">6.2 政策與基建建議</w:t>
      </w:r>
    </w:p>
    <w:p>
      <w:pPr>
        <w:spacing w:after="120" w:before="120" w:line="360"/>
        <w:jc w:val="left"/>
      </w:pPr>
      <w:r>
        <w:t xml:space="preserve">1. 算力普惠化：政府應加速推動「算力券」制度，補助中小企業租借國家級 AI 算力。</w:t>
      </w:r>
    </w:p>
    <w:p>
      <w:pPr>
        <w:spacing w:after="120" w:before="120" w:line="360"/>
        <w:jc w:val="left"/>
      </w:pPr>
      <w:r>
        <w:t xml:space="preserve">2. 能源結構轉型：資料中心應優先配置微電網與氫能備援電力，以緩解電網壓力。</w:t>
      </w:r>
    </w:p>
    <w:p>
      <w:pPr>
        <w:spacing w:after="120" w:before="120" w:line="360"/>
        <w:jc w:val="left"/>
      </w:pPr>
      <w:r>
        <w:t xml:space="preserve">3. 人才跨域培訓：推動「AI + X」人才培育計劃，不僅培訓工程師，更要培訓懂 AI 治理的法律與管理人才。</w:t>
      </w:r>
    </w:p>
    <w:p>
      <w:pPr>
        <w:pStyle w:val="Heading2"/>
      </w:pPr>
      <w:r>
        <w:t xml:space="preserve">第七章：結論與建議</w:t>
      </w:r>
    </w:p>
    <w:p>
      <w:pPr>
        <w:pStyle w:val="Heading3"/>
      </w:pPr>
      <w:r>
        <w:t xml:space="preserve">7.1 核心結論</w:t>
      </w:r>
    </w:p>
    <w:p>
      <w:pPr>
        <w:spacing w:after="120" w:before="120" w:line="360"/>
        <w:jc w:val="left"/>
      </w:pPr>
      <w:r>
        <w:t xml:space="preserve">2026 年台灣已成功鞏固了全球 AI 硬體霸主的地位，並正加速向軟硬整合的「代理型 AI 生態系」邁進。雖然面臨記憶體價格波動與電力短缺的威脅，但 AI 對台灣經濟的邊際效益（GDP +7.71%）遠超預期。</w:t>
      </w:r>
    </w:p>
    <w:p>
      <w:pPr>
        <w:pStyle w:val="Heading3"/>
      </w:pPr>
      <w:r>
        <w:t xml:space="preserve">7.2 給各界的建議</w:t>
      </w:r>
    </w:p>
    <w:p>
      <w:pPr>
        <w:pStyle w:val="ListParagraph"/>
        <w:numPr>
          <w:ilvl w:val="0"/>
          <w:numId w:val="2"/>
        </w:numPr>
        <w:spacing w:after="120" w:before="120" w:line="360"/>
        <w:jc w:val="left"/>
      </w:pPr>
      <w:r>
        <w:t xml:space="preserve">給從業人員：必須具備「監督代理人」的能力。未來不是比誰會寫程式，而是比誰能更好地引導 AI Agent 完成複雜目標。</w:t>
      </w:r>
    </w:p>
    <w:p>
      <w:pPr>
        <w:pStyle w:val="ListParagraph"/>
        <w:numPr>
          <w:ilvl w:val="0"/>
          <w:numId w:val="2"/>
        </w:numPr>
        <w:spacing w:after="120" w:before="120" w:line="360"/>
        <w:jc w:val="left"/>
      </w:pPr>
      <w:r>
        <w:t xml:space="preserve">給創投機構：重點投資「垂直領域 AI 代理（Vertical AI Agents）」與「Edge AI 基礎設施」。</w:t>
      </w:r>
    </w:p>
    <w:p>
      <w:pPr>
        <w:pStyle w:val="ListParagraph"/>
        <w:numPr>
          <w:ilvl w:val="0"/>
          <w:numId w:val="2"/>
        </w:numPr>
        <w:spacing w:after="120" w:before="120" w:line="360"/>
        <w:jc w:val="left"/>
      </w:pPr>
      <w:r>
        <w:t xml:space="preserve">給政府部門：落實《AI 基本法》的施行細則，並建立國家級的「AI 安全驗證實驗室」。</w:t>
      </w:r>
    </w:p>
    <w:p>
      <w:pPr>
        <w:pStyle w:val="Heading2"/>
      </w:pPr>
      <w:r>
        <w:t xml:space="preserve">參考資料</w:t>
      </w:r>
    </w:p>
    <w:p>
      <w:pPr>
        <w:spacing w:after="120" w:before="120" w:line="360"/>
        <w:jc w:val="left"/>
      </w:pPr>
      <w:r>
        <w:t xml:space="preserve">1. IDC Taiwan, "2026 ICT Industry Outlook: The Rise of Agentic AI," Dec 2025.</w:t>
      </w:r>
    </w:p>
    <w:p>
      <w:pPr>
        <w:spacing w:after="120" w:before="120" w:line="360"/>
        <w:jc w:val="left"/>
      </w:pPr>
      <w:r>
        <w:t xml:space="preserve">2. TSMC 2025 Q4 Earnings Call &amp; 2026 Forecasts, Jan 2026.</w:t>
      </w:r>
    </w:p>
    <w:p>
      <w:pPr>
        <w:spacing w:after="120" w:before="120" w:line="360"/>
        <w:jc w:val="left"/>
      </w:pPr>
      <w:r>
        <w:t xml:space="preserve">3. Deloitte TMT Predictions 2026, "The AI Paradox: Soaring Demand vs. Supply Constraints," Feb 2026.</w:t>
      </w:r>
    </w:p>
    <w:p>
      <w:pPr>
        <w:spacing w:after="120" w:before="120" w:line="360"/>
        <w:jc w:val="left"/>
      </w:pPr>
      <w:r>
        <w:t xml:space="preserve">4. 資策會 MIC, "2026 年十大科技趨勢與半導體市場分析報告," Dec 2025.</w:t>
      </w:r>
    </w:p>
    <w:p>
      <w:pPr>
        <w:spacing w:after="120" w:before="120" w:line="360"/>
        <w:jc w:val="left"/>
      </w:pPr>
      <w:r>
        <w:t xml:space="preserve">5. 中華民國總統府, "人工智慧基本法正式公布與施行令," Jan 2026.</w:t>
      </w:r>
    </w:p>
    <w:p>
      <w:pPr>
        <w:spacing w:after="120" w:before="120" w:line="360"/>
        <w:jc w:val="left"/>
      </w:pPr>
      <w:r>
        <w:t xml:space="preserve">6. Gartner, "Global AI PC and Smartphone Market Forecast 2024-2028," Sept 2025.</w:t>
      </w:r>
    </w:p>
    <w:p>
      <w:pPr>
        <w:spacing w:after="120" w:before="120" w:line="360"/>
        <w:jc w:val="left"/>
      </w:pPr>
      <w:r>
        <w:t xml:space="preserve">7. TrendForce, "2026 Memory Market Dynamics and Pricing Report," Feb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頁碼 </w:t>
    </w: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2026 年台灣 AI 產業發展研究報告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b/>
      <w:bCs/>
      <w:color w:val="000000"/>
      <w:sz w:val="36"/>
      <w:szCs w:val="36"/>
    </w:rPr>
  </w:style>
  <w:style w:type="paragraph" w:styleId="Heading2">
    <w:name w:val="Heading 2"/>
    <w:basedOn w:val="Normal"/>
    <w:next w:val="Normal"/>
    <w:qFormat/>
    <w:pPr>
      <w:spacing w:after="200" w:before="300"/>
      <w:outlineLvl w:val="1"/>
    </w:pPr>
    <w:rPr>
      <w:b/>
      <w:bCs/>
      <w:color w:val="000000"/>
      <w:sz w:val="30"/>
      <w:szCs w:val="30"/>
    </w:rPr>
  </w:style>
  <w:style w:type="paragraph" w:styleId="Heading3">
    <w:name w:val="Heading 3"/>
    <w:basedOn w:val="Normal"/>
    <w:next w:val="Normal"/>
    <w:qFormat/>
    <w:pPr>
      <w:spacing w:after="160" w:before="240"/>
      <w:outlineLvl w:val="2"/>
    </w:pPr>
    <w:rPr>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2026-02-27T15:11:53.977Z</dcterms:created>
  <dcterms:modified xsi:type="dcterms:W3CDTF">2026-02-27T15:11:53.981Z</dcterms:modified>
</cp:coreProperties>
</file>

<file path=docProps/custom.xml><?xml version="1.0" encoding="utf-8"?>
<Properties xmlns="http://schemas.openxmlformats.org/officeDocument/2006/custom-properties" xmlns:vt="http://schemas.openxmlformats.org/officeDocument/2006/docPropsVTypes"/>
</file>