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análise de 1.200 registros de serviços digitais revelou que, embora a maioria das operações ocorra com sucesso, há uma latência média elevada (2.309 ms) e uma concentração crítica de problemas no serviço Pix. Identificaram-se falhas recorrentes de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associadas a feedbacks de lentidão e indisponibilidade. Não há dados suficientes para confirmar violações de propriedades ACID ou trade-offs CAP, exigindo cautela em decisões de arquitetura de banco de dados. Recomenda-se priorizar a observabilidade e a otimização dos fluxos de processamento atuais.Tabela de Diagnóstico e Ações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1684497467015"/>
        <w:gridCol w:w="2037.5634067639357"/>
        <w:gridCol w:w="3392.8018851658144"/>
        <w:gridCol w:w="1966.9780693471712"/>
        <w:tblGridChange w:id="0">
          <w:tblGrid>
            <w:gridCol w:w="1628.1684497467015"/>
            <w:gridCol w:w="2037.5634067639357"/>
            <w:gridCol w:w="3392.8018851658144"/>
            <w:gridCol w:w="1966.97806934717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Sentimento/Estado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Maior volume (414 regs), muitos FAILED/TIMEOUT/PENDING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Revisar fluxos de processamento e políticas de retry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Degradado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Latências de até 7.835 ms, feedbacks de lentidão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Reforçar observabilidade e analisar gargalos na aplicação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Insatisfatório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Feedbacks de respostas inadequadas ou repetitivas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Aprimorar compreensão de contexto e busca semântica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Instável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Feedbacks de falha ao realizar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Revisar disponibilidade do serviço de autenticação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Prioridades Principais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de Observabilidade:</w:t>
      </w:r>
      <w:r w:rsidDel="00000000" w:rsidR="00000000" w:rsidRPr="00000000">
        <w:rPr>
          <w:rtl w:val="0"/>
        </w:rPr>
        <w:t xml:space="preserve"> Implantar dashboards detalhados de latência, disponibilidade e códigos de erro por serviço para embasar decisões técnicas futuras.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Pix:</w:t>
      </w:r>
      <w:r w:rsidDel="00000000" w:rsidR="00000000" w:rsidRPr="00000000">
        <w:rPr>
          <w:rtl w:val="0"/>
        </w:rPr>
        <w:t xml:space="preserve"> Investigar as causas raízes dos status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no serviço Pix, dado o alto volume de eventos e impacto direto na experiência do usuário.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 na Qualidade dos Dados:</w:t>
      </w:r>
      <w:r w:rsidDel="00000000" w:rsidR="00000000" w:rsidRPr="00000000">
        <w:rPr>
          <w:rtl w:val="0"/>
        </w:rPr>
        <w:t xml:space="preserve"> Revisar o pipeline de ingestão para eliminar registros com feedbacks vazios e permitir análises mais precisas sobre as falhas.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Não foi possível realizar análise sobre violações ACID ou CAP devido à ausência de dados de banco de dados, CPU, memória e arquitetura distribuída no dataset fornecido.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