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>{{</w:t>
                            </w:r>
                            <w:r w:rsidR="005A1C4A"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>NOME_CLIENTE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>logo_cliente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>{{</w:t>
                      </w:r>
                      <w:r w:rsidR="005A1C4A"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>NOME_CLIENTE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>}}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>{{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>logo_cliente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>}}</w:t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" name="Caixa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2" name="Caixa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377180027" name="Imagem 3771800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377180027" name="Imagem 3771800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8" name="Caixa de Tex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38715437" name="Gráfico 1038715437">
                                        <a:hlinkClick xmlns:a="http://schemas.openxmlformats.org/drawingml/2006/main" r:id="rId11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38715437" name="Gráfico 103871543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4" name="Conector re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 xmlns:asvg="http://schemas.microsoft.com/office/drawing/2016/SVG/main" xmlns:pic="http://schemas.openxmlformats.org/drawingml/2006/picture" xmlns:a14="http://schemas.microsoft.com/office/drawing/2010/main" xmlns:a="http://schemas.openxmlformats.org/drawingml/2006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>{{NOME_CLIENTE}}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>{{NOME_CLIENTE}}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sv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footer" Target="footer3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service.com.br/service-it-implementa-solucao-de-escalabilidade-na-adiq-em-parceria-com-a-red-hat/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22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