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d9ab5fc9-0063-433d-9db6-ac5ad75565da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d9ab5fc9-0063-433d-9db6-ac5ad75565da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1. Conhecendo A Service It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Conhecendo a Service IT.</w:t>
      </w:r>
    </w:p>
    <w:p>
      <w:pPr>
        <w:jc w:val="center"/>
      </w:pPr>
      <w:r>
        <w:drawing>
          <wp:inline>
            <wp:extent cx="4572000" cy="1185224"/>
            <wp:docPr id="1012" name="Picture 10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01bb7484-7152-45d6-8b6e-56155a21e48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5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2. Transicao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Transição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3. Controle De Versao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Controle de Versão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4. Solucao Proposta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Solução Proposta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5. Termo De Confidencialidade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Termo de Confidencialidade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6. Folha De Rosto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Folha de Rosto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7. Termo De Aceite Da Proposta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Termo de Aceite da Proposta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8. Visao Geral Dos Servicos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Visão Geral dos Serviços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9. Sobre A Service It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Sobre a Service IT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10. Exclusoes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Exclusões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11. Sumario Executivo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Sumário Executivo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12. Workplace Service Desk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Service Desk' será definido.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13. Workplace Field Services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Field Services' será definido.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14. Workplace Gestao De Processos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Processos' será definido.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15. Workplace Gestao De Ativos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Gestao De Ativos' será definido.</w:t>
      </w:r>
    </w:p>
    <w:p>
      <w:r>
        <w:br/>
      </w:r>
    </w:p>
    <w:p>
      <w:pPr>
        <w:jc w:val="center"/>
      </w:pPr>
      <w:r>
        <w:rPr>
          <w:rFonts w:ascii="Poppins" w:hAnsi="Poppins"/>
          <w:b/>
          <w:color w:val="E31736"/>
          <w:sz w:val="28"/>
        </w:rPr>
        <w:t>16. Workplace Desktop Mgm</w:t>
      </w:r>
    </w:p>
    <w:p>
      <w:r/>
    </w:p>
    <w:p>
      <w:pPr>
        <w:jc w:val="both"/>
      </w:pPr>
      <w:r>
        <w:rPr>
          <w:rFonts w:ascii="Poppins" w:hAnsi="Poppins"/>
          <w:color w:val="53565A"/>
          <w:sz w:val="22"/>
        </w:rPr>
        <w:t>Conteúdo para o bloco 'Workplace Desktop Mgm' será definido.</w:t>
      </w:r>
    </w:p>
    <w:p>
      <w:r>
        <w:br/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napToGrid w:val="0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