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4FB8430C" w:rsidR="00AA49DE" w:rsidRDefault="00AA49DE" w:rsidP="00AB725E">
            <w:pPr>
              <w:ind w:left="5"/>
            </w:pPr>
            <w:r>
              <w:rPr>
                <w:sz w:val="20"/>
              </w:rPr>
              <w:t xml:space="preserve"> </w:t>
            </w:r>
            <w:r w:rsidR="0076503A">
              <w:rPr>
                <w:sz w:val="20"/>
              </w:rPr>
              <w:t>Analysis of Propel Tech’s Service Delivery Process</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67F2ED51" w:rsidR="00AA49DE" w:rsidRDefault="00AA49DE" w:rsidP="00AB725E">
            <w:pPr>
              <w:ind w:left="5"/>
            </w:pPr>
            <w:r>
              <w:rPr>
                <w:sz w:val="20"/>
              </w:rPr>
              <w:t xml:space="preserve"> </w:t>
            </w:r>
            <w:r w:rsidR="00A45A57">
              <w:rPr>
                <w:sz w:val="20"/>
              </w:rPr>
              <w:t xml:space="preserve">2000~ </w:t>
            </w:r>
            <w:r>
              <w:rPr>
                <w:sz w:val="20"/>
              </w:rPr>
              <w:t>/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56AD6237" w:rsidR="00AA49DE" w:rsidRDefault="00AA49DE" w:rsidP="00AB725E">
            <w:pPr>
              <w:ind w:left="5"/>
            </w:pPr>
            <w:r>
              <w:rPr>
                <w:sz w:val="20"/>
              </w:rPr>
              <w:t xml:space="preserve"> </w:t>
            </w:r>
            <w:r w:rsidR="00A45A57">
              <w:rPr>
                <w:sz w:val="20"/>
              </w:rPr>
              <w:t>16/06/2024</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8226844"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5D0533AD" w14:textId="1588B7DB" w:rsidR="00CE5716"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8226844" w:history="1">
            <w:r w:rsidR="00CE5716" w:rsidRPr="00E404FF">
              <w:rPr>
                <w:rStyle w:val="Hyperlink"/>
                <w:noProof/>
              </w:rPr>
              <w:t>Table of Contents</w:t>
            </w:r>
            <w:r w:rsidR="00CE5716">
              <w:rPr>
                <w:noProof/>
                <w:webHidden/>
              </w:rPr>
              <w:tab/>
            </w:r>
            <w:r w:rsidR="00CE5716">
              <w:rPr>
                <w:noProof/>
                <w:webHidden/>
              </w:rPr>
              <w:fldChar w:fldCharType="begin"/>
            </w:r>
            <w:r w:rsidR="00CE5716">
              <w:rPr>
                <w:noProof/>
                <w:webHidden/>
              </w:rPr>
              <w:instrText xml:space="preserve"> PAGEREF _Toc168226844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B9C66CA" w14:textId="63E2B8F7"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5" w:history="1">
            <w:r w:rsidR="00CE5716" w:rsidRPr="00E404FF">
              <w:rPr>
                <w:rStyle w:val="Hyperlink"/>
                <w:noProof/>
              </w:rPr>
              <w:t>Introduction</w:t>
            </w:r>
            <w:r w:rsidR="00CE5716">
              <w:rPr>
                <w:noProof/>
                <w:webHidden/>
              </w:rPr>
              <w:tab/>
            </w:r>
            <w:r w:rsidR="00CE5716">
              <w:rPr>
                <w:noProof/>
                <w:webHidden/>
              </w:rPr>
              <w:fldChar w:fldCharType="begin"/>
            </w:r>
            <w:r w:rsidR="00CE5716">
              <w:rPr>
                <w:noProof/>
                <w:webHidden/>
              </w:rPr>
              <w:instrText xml:space="preserve"> PAGEREF _Toc168226845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A201F49" w14:textId="4F69D9A1"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6" w:history="1">
            <w:r w:rsidR="00CE5716" w:rsidRPr="00E404FF">
              <w:rPr>
                <w:rStyle w:val="Hyperlink"/>
                <w:noProof/>
              </w:rPr>
              <w:t>Analysis of Propel Tech’s Service Delivery Process</w:t>
            </w:r>
            <w:r w:rsidR="00CE5716">
              <w:rPr>
                <w:noProof/>
                <w:webHidden/>
              </w:rPr>
              <w:tab/>
            </w:r>
            <w:r w:rsidR="00CE5716">
              <w:rPr>
                <w:noProof/>
                <w:webHidden/>
              </w:rPr>
              <w:fldChar w:fldCharType="begin"/>
            </w:r>
            <w:r w:rsidR="00CE5716">
              <w:rPr>
                <w:noProof/>
                <w:webHidden/>
              </w:rPr>
              <w:instrText xml:space="preserve"> PAGEREF _Toc168226846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D5D0D6F" w14:textId="1A8AA453"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7" w:history="1">
            <w:r w:rsidR="00CE5716" w:rsidRPr="00E404FF">
              <w:rPr>
                <w:rStyle w:val="Hyperlink"/>
                <w:noProof/>
              </w:rPr>
              <w:t>Suggesting Process Improvement for Propel Tech</w:t>
            </w:r>
            <w:r w:rsidR="00CE5716">
              <w:rPr>
                <w:noProof/>
                <w:webHidden/>
              </w:rPr>
              <w:tab/>
            </w:r>
            <w:r w:rsidR="00CE5716">
              <w:rPr>
                <w:noProof/>
                <w:webHidden/>
              </w:rPr>
              <w:fldChar w:fldCharType="begin"/>
            </w:r>
            <w:r w:rsidR="00CE5716">
              <w:rPr>
                <w:noProof/>
                <w:webHidden/>
              </w:rPr>
              <w:instrText xml:space="preserve"> PAGEREF _Toc168226847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65D933F6" w14:textId="77D27EC0"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8" w:history="1">
            <w:r w:rsidR="00CE5716" w:rsidRPr="00E404FF">
              <w:rPr>
                <w:rStyle w:val="Hyperlink"/>
                <w:noProof/>
              </w:rPr>
              <w:t>Identifying process outcomes</w:t>
            </w:r>
            <w:r w:rsidR="00CE5716">
              <w:rPr>
                <w:noProof/>
                <w:webHidden/>
              </w:rPr>
              <w:tab/>
            </w:r>
            <w:r w:rsidR="00CE5716">
              <w:rPr>
                <w:noProof/>
                <w:webHidden/>
              </w:rPr>
              <w:fldChar w:fldCharType="begin"/>
            </w:r>
            <w:r w:rsidR="00CE5716">
              <w:rPr>
                <w:noProof/>
                <w:webHidden/>
              </w:rPr>
              <w:instrText xml:space="preserve"> PAGEREF _Toc168226848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58AB5FFF" w14:textId="766ABB87"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9" w:history="1">
            <w:r w:rsidR="00CE5716" w:rsidRPr="00E404FF">
              <w:rPr>
                <w:rStyle w:val="Hyperlink"/>
                <w:noProof/>
              </w:rPr>
              <w:t>Process Measurement</w:t>
            </w:r>
            <w:r w:rsidR="00CE5716">
              <w:rPr>
                <w:noProof/>
                <w:webHidden/>
              </w:rPr>
              <w:tab/>
            </w:r>
            <w:r w:rsidR="00CE5716">
              <w:rPr>
                <w:noProof/>
                <w:webHidden/>
              </w:rPr>
              <w:fldChar w:fldCharType="begin"/>
            </w:r>
            <w:r w:rsidR="00CE5716">
              <w:rPr>
                <w:noProof/>
                <w:webHidden/>
              </w:rPr>
              <w:instrText xml:space="preserve"> PAGEREF _Toc168226849 \h </w:instrText>
            </w:r>
            <w:r w:rsidR="00CE5716">
              <w:rPr>
                <w:noProof/>
                <w:webHidden/>
              </w:rPr>
            </w:r>
            <w:r w:rsidR="00CE5716">
              <w:rPr>
                <w:noProof/>
                <w:webHidden/>
              </w:rPr>
              <w:fldChar w:fldCharType="separate"/>
            </w:r>
            <w:r w:rsidR="00CE5716">
              <w:rPr>
                <w:noProof/>
                <w:webHidden/>
              </w:rPr>
              <w:t>10</w:t>
            </w:r>
            <w:r w:rsidR="00CE5716">
              <w:rPr>
                <w:noProof/>
                <w:webHidden/>
              </w:rPr>
              <w:fldChar w:fldCharType="end"/>
            </w:r>
          </w:hyperlink>
        </w:p>
        <w:p w14:paraId="418EAE9A" w14:textId="6FC1FF58"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0" w:history="1">
            <w:r w:rsidR="00CE5716" w:rsidRPr="00E404FF">
              <w:rPr>
                <w:rStyle w:val="Hyperlink"/>
                <w:noProof/>
              </w:rPr>
              <w:t>Task 3</w:t>
            </w:r>
            <w:r w:rsidR="00CE5716">
              <w:rPr>
                <w:noProof/>
                <w:webHidden/>
              </w:rPr>
              <w:tab/>
            </w:r>
            <w:r w:rsidR="00CE5716">
              <w:rPr>
                <w:noProof/>
                <w:webHidden/>
              </w:rPr>
              <w:fldChar w:fldCharType="begin"/>
            </w:r>
            <w:r w:rsidR="00CE5716">
              <w:rPr>
                <w:noProof/>
                <w:webHidden/>
              </w:rPr>
              <w:instrText xml:space="preserve"> PAGEREF _Toc168226850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19CD122E" w14:textId="4E24A546"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1" w:history="1">
            <w:r w:rsidR="00CE5716" w:rsidRPr="00E404FF">
              <w:rPr>
                <w:rStyle w:val="Hyperlink"/>
                <w:noProof/>
              </w:rPr>
              <w:t>Conclusion</w:t>
            </w:r>
            <w:r w:rsidR="00CE5716">
              <w:rPr>
                <w:noProof/>
                <w:webHidden/>
              </w:rPr>
              <w:tab/>
            </w:r>
            <w:r w:rsidR="00CE5716">
              <w:rPr>
                <w:noProof/>
                <w:webHidden/>
              </w:rPr>
              <w:fldChar w:fldCharType="begin"/>
            </w:r>
            <w:r w:rsidR="00CE5716">
              <w:rPr>
                <w:noProof/>
                <w:webHidden/>
              </w:rPr>
              <w:instrText xml:space="preserve"> PAGEREF _Toc168226851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6B3F2615" w14:textId="1BAAD8BD"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2" w:history="1">
            <w:r w:rsidR="00CE5716" w:rsidRPr="00E404FF">
              <w:rPr>
                <w:rStyle w:val="Hyperlink"/>
                <w:noProof/>
              </w:rPr>
              <w:t>Appendix A</w:t>
            </w:r>
            <w:r w:rsidR="00CE5716">
              <w:rPr>
                <w:noProof/>
                <w:webHidden/>
              </w:rPr>
              <w:tab/>
            </w:r>
            <w:r w:rsidR="00CE5716">
              <w:rPr>
                <w:noProof/>
                <w:webHidden/>
              </w:rPr>
              <w:fldChar w:fldCharType="begin"/>
            </w:r>
            <w:r w:rsidR="00CE5716">
              <w:rPr>
                <w:noProof/>
                <w:webHidden/>
              </w:rPr>
              <w:instrText xml:space="preserve"> PAGEREF _Toc168226852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0A4D662" w14:textId="0B798DE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3" w:history="1">
            <w:r w:rsidR="00CE5716" w:rsidRPr="00E404FF">
              <w:rPr>
                <w:rStyle w:val="Hyperlink"/>
                <w:noProof/>
              </w:rPr>
              <w:t>Figure 1: Porter’s Value Chain Analysis for Propel Tech</w:t>
            </w:r>
            <w:r w:rsidR="00CE5716">
              <w:rPr>
                <w:noProof/>
                <w:webHidden/>
              </w:rPr>
              <w:tab/>
            </w:r>
            <w:r w:rsidR="00CE5716">
              <w:rPr>
                <w:noProof/>
                <w:webHidden/>
              </w:rPr>
              <w:fldChar w:fldCharType="begin"/>
            </w:r>
            <w:r w:rsidR="00CE5716">
              <w:rPr>
                <w:noProof/>
                <w:webHidden/>
              </w:rPr>
              <w:instrText xml:space="preserve"> PAGEREF _Toc168226853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EC15706" w14:textId="27FB350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4" w:history="1">
            <w:r w:rsidR="00CE5716" w:rsidRPr="00E404FF">
              <w:rPr>
                <w:rStyle w:val="Hyperlink"/>
                <w:noProof/>
              </w:rPr>
              <w:t>Figure 2: Propel Tech’s Primary Activity Map</w:t>
            </w:r>
            <w:r w:rsidR="00CE5716">
              <w:rPr>
                <w:noProof/>
                <w:webHidden/>
              </w:rPr>
              <w:tab/>
            </w:r>
            <w:r w:rsidR="00CE5716">
              <w:rPr>
                <w:noProof/>
                <w:webHidden/>
              </w:rPr>
              <w:fldChar w:fldCharType="begin"/>
            </w:r>
            <w:r w:rsidR="00CE5716">
              <w:rPr>
                <w:noProof/>
                <w:webHidden/>
              </w:rPr>
              <w:instrText xml:space="preserve"> PAGEREF _Toc168226854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5A3470E6" w14:textId="3288AAB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5" w:history="1">
            <w:r w:rsidR="00CE5716" w:rsidRPr="00E404FF">
              <w:rPr>
                <w:rStyle w:val="Hyperlink"/>
                <w:noProof/>
              </w:rPr>
              <w:t>Figure 3: Harmon’s Organisation Diagram of Propel Tech</w:t>
            </w:r>
            <w:r w:rsidR="00CE5716">
              <w:rPr>
                <w:noProof/>
                <w:webHidden/>
              </w:rPr>
              <w:tab/>
            </w:r>
            <w:r w:rsidR="00CE5716">
              <w:rPr>
                <w:noProof/>
                <w:webHidden/>
              </w:rPr>
              <w:fldChar w:fldCharType="begin"/>
            </w:r>
            <w:r w:rsidR="00CE5716">
              <w:rPr>
                <w:noProof/>
                <w:webHidden/>
              </w:rPr>
              <w:instrText xml:space="preserve"> PAGEREF _Toc168226855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28DBFACD" w14:textId="3A0B7AE0"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6" w:history="1">
            <w:r w:rsidR="00CE5716" w:rsidRPr="00E404FF">
              <w:rPr>
                <w:rStyle w:val="Hyperlink"/>
                <w:noProof/>
              </w:rPr>
              <w:t>Figure 4: Service Delivery Process Scope Diagram</w:t>
            </w:r>
            <w:r w:rsidR="00CE5716">
              <w:rPr>
                <w:noProof/>
                <w:webHidden/>
              </w:rPr>
              <w:tab/>
            </w:r>
            <w:r w:rsidR="00CE5716">
              <w:rPr>
                <w:noProof/>
                <w:webHidden/>
              </w:rPr>
              <w:fldChar w:fldCharType="begin"/>
            </w:r>
            <w:r w:rsidR="00CE5716">
              <w:rPr>
                <w:noProof/>
                <w:webHidden/>
              </w:rPr>
              <w:instrText xml:space="preserve"> PAGEREF _Toc168226856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A315CBF" w14:textId="139275C2"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7" w:history="1">
            <w:r w:rsidR="00CE5716" w:rsidRPr="00E404FF">
              <w:rPr>
                <w:rStyle w:val="Hyperlink"/>
                <w:noProof/>
              </w:rPr>
              <w:t>Figure 5: Service Delivery Process Hierarchy Diagram</w:t>
            </w:r>
            <w:r w:rsidR="00CE5716">
              <w:rPr>
                <w:noProof/>
                <w:webHidden/>
              </w:rPr>
              <w:tab/>
            </w:r>
            <w:r w:rsidR="00CE5716">
              <w:rPr>
                <w:noProof/>
                <w:webHidden/>
              </w:rPr>
              <w:fldChar w:fldCharType="begin"/>
            </w:r>
            <w:r w:rsidR="00CE5716">
              <w:rPr>
                <w:noProof/>
                <w:webHidden/>
              </w:rPr>
              <w:instrText xml:space="preserve"> PAGEREF _Toc168226857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2BFCFCB" w14:textId="6E8161DD"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8" w:history="1">
            <w:r w:rsidR="00CE5716" w:rsidRPr="00E404FF">
              <w:rPr>
                <w:rStyle w:val="Hyperlink"/>
                <w:noProof/>
              </w:rPr>
              <w:t>Figure 6: Process Swim-Lane Flowchart</w:t>
            </w:r>
            <w:r w:rsidR="00CE5716">
              <w:rPr>
                <w:noProof/>
                <w:webHidden/>
              </w:rPr>
              <w:tab/>
            </w:r>
            <w:r w:rsidR="00CE5716">
              <w:rPr>
                <w:noProof/>
                <w:webHidden/>
              </w:rPr>
              <w:fldChar w:fldCharType="begin"/>
            </w:r>
            <w:r w:rsidR="00CE5716">
              <w:rPr>
                <w:noProof/>
                <w:webHidden/>
              </w:rPr>
              <w:instrText xml:space="preserve"> PAGEREF _Toc168226858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439398BB" w14:textId="5CB68FB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9" w:history="1">
            <w:r w:rsidR="00CE5716" w:rsidRPr="00E404FF">
              <w:rPr>
                <w:rStyle w:val="Hyperlink"/>
                <w:noProof/>
              </w:rPr>
              <w:t>Figure 7: Fishbone Diagram of Risk Factors to Service Delivery</w:t>
            </w:r>
            <w:r w:rsidR="00CE5716">
              <w:rPr>
                <w:noProof/>
                <w:webHidden/>
              </w:rPr>
              <w:tab/>
            </w:r>
            <w:r w:rsidR="00CE5716">
              <w:rPr>
                <w:noProof/>
                <w:webHidden/>
              </w:rPr>
              <w:fldChar w:fldCharType="begin"/>
            </w:r>
            <w:r w:rsidR="00CE5716">
              <w:rPr>
                <w:noProof/>
                <w:webHidden/>
              </w:rPr>
              <w:instrText xml:space="preserve"> PAGEREF _Toc168226859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0570CB0" w14:textId="1BD634A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0" w:history="1">
            <w:r w:rsidR="00CE5716" w:rsidRPr="00E404FF">
              <w:rPr>
                <w:rStyle w:val="Hyperlink"/>
                <w:noProof/>
              </w:rPr>
              <w:t>Figure 8: Stakeholder Interest / Grid Ratio Chart</w:t>
            </w:r>
            <w:r w:rsidR="00CE5716">
              <w:rPr>
                <w:noProof/>
                <w:webHidden/>
              </w:rPr>
              <w:tab/>
            </w:r>
            <w:r w:rsidR="00CE5716">
              <w:rPr>
                <w:noProof/>
                <w:webHidden/>
              </w:rPr>
              <w:fldChar w:fldCharType="begin"/>
            </w:r>
            <w:r w:rsidR="00CE5716">
              <w:rPr>
                <w:noProof/>
                <w:webHidden/>
              </w:rPr>
              <w:instrText xml:space="preserve"> PAGEREF _Toc168226860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68E6BBD" w14:textId="729BD9F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1" w:history="1">
            <w:r w:rsidR="00CE5716" w:rsidRPr="00E404FF">
              <w:rPr>
                <w:rStyle w:val="Hyperlink"/>
                <w:noProof/>
              </w:rPr>
              <w:t>Figure 9: Primary Stakeholders</w:t>
            </w:r>
            <w:r w:rsidR="00CE5716">
              <w:rPr>
                <w:noProof/>
                <w:webHidden/>
              </w:rPr>
              <w:tab/>
            </w:r>
            <w:r w:rsidR="00CE5716">
              <w:rPr>
                <w:noProof/>
                <w:webHidden/>
              </w:rPr>
              <w:fldChar w:fldCharType="begin"/>
            </w:r>
            <w:r w:rsidR="00CE5716">
              <w:rPr>
                <w:noProof/>
                <w:webHidden/>
              </w:rPr>
              <w:instrText xml:space="preserve"> PAGEREF _Toc168226861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50C82D84" w14:textId="0188B3F8"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2" w:history="1">
            <w:r w:rsidR="00CE5716" w:rsidRPr="00E404FF">
              <w:rPr>
                <w:rStyle w:val="Hyperlink"/>
                <w:noProof/>
              </w:rPr>
              <w:t>Figure 10: Billable Hours Lagging &amp; Leading measurements.</w:t>
            </w:r>
            <w:r w:rsidR="00CE5716">
              <w:rPr>
                <w:noProof/>
                <w:webHidden/>
              </w:rPr>
              <w:tab/>
            </w:r>
            <w:r w:rsidR="00CE5716">
              <w:rPr>
                <w:noProof/>
                <w:webHidden/>
              </w:rPr>
              <w:fldChar w:fldCharType="begin"/>
            </w:r>
            <w:r w:rsidR="00CE5716">
              <w:rPr>
                <w:noProof/>
                <w:webHidden/>
              </w:rPr>
              <w:instrText xml:space="preserve"> PAGEREF _Toc168226862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2A870489" w14:textId="6B68774B"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3" w:history="1">
            <w:r w:rsidR="00CE5716" w:rsidRPr="00E404FF">
              <w:rPr>
                <w:rStyle w:val="Hyperlink"/>
                <w:noProof/>
              </w:rPr>
              <w:t>Figure 11: Client Headcount Lagging &amp; Leading measurements.</w:t>
            </w:r>
            <w:r w:rsidR="00CE5716">
              <w:rPr>
                <w:noProof/>
                <w:webHidden/>
              </w:rPr>
              <w:tab/>
            </w:r>
            <w:r w:rsidR="00CE5716">
              <w:rPr>
                <w:noProof/>
                <w:webHidden/>
              </w:rPr>
              <w:fldChar w:fldCharType="begin"/>
            </w:r>
            <w:r w:rsidR="00CE5716">
              <w:rPr>
                <w:noProof/>
                <w:webHidden/>
              </w:rPr>
              <w:instrText xml:space="preserve"> PAGEREF _Toc168226863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8C5BE9C" w14:textId="0D94F5A4"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64" w:history="1">
            <w:r w:rsidR="00CE5716" w:rsidRPr="00E404FF">
              <w:rPr>
                <w:rStyle w:val="Hyperlink"/>
                <w:noProof/>
              </w:rPr>
              <w:t>References</w:t>
            </w:r>
            <w:r w:rsidR="00CE5716">
              <w:rPr>
                <w:noProof/>
                <w:webHidden/>
              </w:rPr>
              <w:tab/>
            </w:r>
            <w:r w:rsidR="00CE5716">
              <w:rPr>
                <w:noProof/>
                <w:webHidden/>
              </w:rPr>
              <w:fldChar w:fldCharType="begin"/>
            </w:r>
            <w:r w:rsidR="00CE5716">
              <w:rPr>
                <w:noProof/>
                <w:webHidden/>
              </w:rPr>
              <w:instrText xml:space="preserve"> PAGEREF _Toc168226864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3A8E727E" w14:textId="752E1B0B"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8226845"/>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6A0E5C6" w14:textId="7412AC7B" w:rsidR="0003073E" w:rsidRDefault="000C6D99" w:rsidP="004D0DD7">
      <w:r>
        <w:t xml:space="preserve">This process was selected as it has the largest impact on </w:t>
      </w:r>
      <w:r w:rsidR="0014050C">
        <w:t xml:space="preserve">profitability and client retention within the organization. </w:t>
      </w:r>
    </w:p>
    <w:p w14:paraId="59166D79" w14:textId="69F0FAD4" w:rsidR="00B26B35" w:rsidRDefault="000B3647" w:rsidP="00B26B35">
      <w:pPr>
        <w:pStyle w:val="Heading1"/>
      </w:pPr>
      <w:bookmarkStart w:id="2" w:name="_Toc168226846"/>
      <w:r>
        <w:t xml:space="preserve">Analysis </w:t>
      </w:r>
      <w:r w:rsidR="003362A9">
        <w:t>of</w:t>
      </w:r>
      <w:r>
        <w:t xml:space="preserve"> Propel Tech’s Service Delivery</w:t>
      </w:r>
      <w:r w:rsidR="003362A9">
        <w:t xml:space="preserve"> Process</w:t>
      </w:r>
      <w:bookmarkEnd w:id="2"/>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6F4E2780"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9431B3">
        <w:rPr>
          <w:noProof/>
        </w:rPr>
        <w:t>1</w:t>
      </w:r>
      <w:r>
        <w:fldChar w:fldCharType="end"/>
      </w:r>
      <w:r>
        <w:t xml:space="preserve"> Porter's Value Chain Analysis of Propel Tech</w:t>
      </w:r>
    </w:p>
    <w:p w14:paraId="4A9CBE2C" w14:textId="14F1D575" w:rsidR="000A6E86" w:rsidRDefault="000A6E86" w:rsidP="000A6E86">
      <w:r>
        <w:t xml:space="preserve">Porter </w:t>
      </w:r>
      <w:r w:rsidRPr="0003073E">
        <w:t>(1985, p</w:t>
      </w:r>
      <w:r>
        <w:t>age</w:t>
      </w:r>
      <w:r w:rsidRPr="0003073E">
        <w:t xml:space="preserve"> 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10AC75D3" w:rsidR="0003073E" w:rsidRDefault="00EB529E" w:rsidP="00EB529E">
      <w:pPr>
        <w:pStyle w:val="Caption"/>
        <w:jc w:val="center"/>
      </w:pPr>
      <w:r>
        <w:t xml:space="preserve">Figure </w:t>
      </w:r>
      <w:r>
        <w:fldChar w:fldCharType="begin"/>
      </w:r>
      <w:r>
        <w:instrText xml:space="preserve"> SEQ Figure \* ARABIC </w:instrText>
      </w:r>
      <w:r>
        <w:fldChar w:fldCharType="separate"/>
      </w:r>
      <w:r w:rsidR="009431B3">
        <w:rPr>
          <w:noProof/>
        </w:rPr>
        <w:t>2</w:t>
      </w:r>
      <w:r>
        <w:fldChar w:fldCharType="end"/>
      </w:r>
      <w:r>
        <w:t xml:space="preserve"> Propel Tech’s Primary Activity Map</w:t>
      </w:r>
    </w:p>
    <w:p w14:paraId="08AF905D" w14:textId="73CAEA5B" w:rsidR="00EB529E" w:rsidRDefault="00EB529E" w:rsidP="00EB529E">
      <w:r>
        <w:t>Figure 2 displays the relationships between each primary activity, displaying ahigh-level process map, which Harmon (2019, page 86)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09E78555" w:rsidR="00BD381A" w:rsidRDefault="003A1177" w:rsidP="003A1177">
      <w:pPr>
        <w:pStyle w:val="Caption"/>
        <w:jc w:val="center"/>
      </w:pPr>
      <w:r>
        <w:t xml:space="preserve">Figure </w:t>
      </w:r>
      <w:r>
        <w:fldChar w:fldCharType="begin"/>
      </w:r>
      <w:r>
        <w:instrText xml:space="preserve"> SEQ Figure \* ARABIC </w:instrText>
      </w:r>
      <w:r>
        <w:fldChar w:fldCharType="separate"/>
      </w:r>
      <w:r w:rsidR="009431B3">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33B8861F" w:rsidR="00FF0604" w:rsidRDefault="008B1457" w:rsidP="008B1457">
      <w:pPr>
        <w:pStyle w:val="Caption"/>
        <w:jc w:val="center"/>
      </w:pPr>
      <w:r>
        <w:t xml:space="preserve">Figure </w:t>
      </w:r>
      <w:r>
        <w:fldChar w:fldCharType="begin"/>
      </w:r>
      <w:r>
        <w:instrText xml:space="preserve"> SEQ Figure \* ARABIC </w:instrText>
      </w:r>
      <w:r>
        <w:fldChar w:fldCharType="separate"/>
      </w:r>
      <w:r w:rsidR="009431B3">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11ABB12F" w:rsidR="00B40E9F" w:rsidRDefault="00973098" w:rsidP="00FF0604">
      <w:r>
        <w:t xml:space="preserve">Harmon (2019, page 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237CD6E7">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54BBEF7C"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9431B3">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2699B7EA" w:rsidR="00986875" w:rsidRDefault="00216344" w:rsidP="00BD381A">
      <w:proofErr w:type="spellStart"/>
      <w:r>
        <w:t>Šaulinskas</w:t>
      </w:r>
      <w:proofErr w:type="spellEnd"/>
      <w:r w:rsidR="00F4396E">
        <w:t>-</w:t>
      </w:r>
      <w:r>
        <w:t>et</w:t>
      </w:r>
      <w:r w:rsidR="00F4396E">
        <w:t>-</w:t>
      </w:r>
      <w:r>
        <w:t>al (2013, page 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04EDEAD8" w:rsidR="002A60CE" w:rsidRDefault="002A60CE" w:rsidP="002A60CE">
      <w:pPr>
        <w:pStyle w:val="Caption"/>
        <w:jc w:val="center"/>
      </w:pPr>
      <w:r>
        <w:t xml:space="preserve">Figure </w:t>
      </w:r>
      <w:r>
        <w:fldChar w:fldCharType="begin"/>
      </w:r>
      <w:r>
        <w:instrText xml:space="preserve"> SEQ Figure \* ARABIC </w:instrText>
      </w:r>
      <w:r>
        <w:fldChar w:fldCharType="separate"/>
      </w:r>
      <w:r w:rsidR="009431B3">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24198B0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w:t>
      </w:r>
      <w:r w:rsidR="0076503A">
        <w:t>pg.</w:t>
      </w:r>
      <w:r w:rsidR="00E520B6">
        <w:t xml:space="preserv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00965D10">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2015EDBA" w:rsidR="00661C1A" w:rsidRDefault="00D17BF5" w:rsidP="00D17BF5">
      <w:pPr>
        <w:pStyle w:val="Caption"/>
        <w:jc w:val="center"/>
      </w:pPr>
      <w:r>
        <w:t xml:space="preserve">Figure </w:t>
      </w:r>
      <w:r>
        <w:fldChar w:fldCharType="begin"/>
      </w:r>
      <w:r>
        <w:instrText xml:space="preserve"> SEQ Figure \* ARABIC </w:instrText>
      </w:r>
      <w:r>
        <w:fldChar w:fldCharType="separate"/>
      </w:r>
      <w:r w:rsidR="009431B3">
        <w:rPr>
          <w:noProof/>
        </w:rPr>
        <w:t>7</w:t>
      </w:r>
      <w:r>
        <w:fldChar w:fldCharType="end"/>
      </w:r>
      <w:r>
        <w:t xml:space="preserve"> - Fishbone Diagram of potential causes for delivery over budget.</w:t>
      </w:r>
    </w:p>
    <w:p w14:paraId="42D6AF0B" w14:textId="5E95E397" w:rsidR="008E6E06" w:rsidRPr="001A2C9E" w:rsidRDefault="008E6E06" w:rsidP="00BD381A">
      <w:pPr>
        <w:rPr>
          <w:color w:val="FF0000"/>
        </w:rPr>
      </w:pPr>
      <w:r>
        <w:t xml:space="preserve">Cause and effect diagrams, known as fishbone diagrams, use the frontal node to identify a problem, then supporting nodes represent categories of causal factors, each with their own branches to represent individual factors. </w:t>
      </w:r>
      <w:r w:rsidRPr="00ED1DB7">
        <w:t>(George et al., 2005, p. 146)</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w:t>
      </w:r>
      <w:r w:rsidRPr="001A2C9E">
        <w:rPr>
          <w:color w:val="000000" w:themeColor="text1"/>
        </w:rPr>
        <w:t>delivery</w:t>
      </w:r>
      <w:r>
        <w:t xml:space="preserve">. </w:t>
      </w:r>
      <w:r w:rsidR="008779BF">
        <w:t>As this is the profit centre of the business, effectiveness would be measured by profitability. Engineers’ hours not being billable is typically a result of work being delivered over budget (under-estimate).</w:t>
      </w:r>
    </w:p>
    <w:p w14:paraId="749F0CDB" w14:textId="6C8CEC74"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r w:rsidR="0061137F">
        <w:t xml:space="preserve"> </w:t>
      </w:r>
      <w:r w:rsidR="00D3262D">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rsidR="00D3262D">
        <w:t>s</w:t>
      </w:r>
      <w:r w:rsidR="00DB6D9A">
        <w:t xml:space="preserve"> unpredictable.</w:t>
      </w:r>
    </w:p>
    <w:p w14:paraId="78252C8D" w14:textId="341A091D" w:rsidR="00F44D8D" w:rsidRDefault="003362A9" w:rsidP="00AA49DE">
      <w:pPr>
        <w:pStyle w:val="Heading1"/>
      </w:pPr>
      <w:bookmarkStart w:id="3" w:name="_Toc168226847"/>
      <w:r>
        <w:lastRenderedPageBreak/>
        <w:t>Suggesting Process Improvement for Propel Tech</w:t>
      </w:r>
      <w:bookmarkEnd w:id="3"/>
    </w:p>
    <w:p w14:paraId="7C74E37C" w14:textId="77777777" w:rsidR="007E0B9C" w:rsidRDefault="007E0B9C" w:rsidP="001533E9"/>
    <w:p w14:paraId="39D525A3" w14:textId="5C9287E9" w:rsidR="001533E9" w:rsidRDefault="00290CB4" w:rsidP="001533E9">
      <w:r>
        <w:t>Firstly</w:t>
      </w:r>
      <w:r w:rsidR="0061137F">
        <w:t xml:space="preserve">, </w:t>
      </w:r>
      <w:r>
        <w:t xml:space="preserve">below is a list of </w:t>
      </w:r>
      <w:r w:rsidR="0061137F">
        <w:t>the core problems discovered through analysis</w:t>
      </w:r>
      <w:r>
        <w:t xml:space="preserve"> the following suggestions will aim to resolve.</w:t>
      </w:r>
    </w:p>
    <w:p w14:paraId="5529C477" w14:textId="2BB2AE4E" w:rsidR="0061137F" w:rsidRDefault="0061137F" w:rsidP="0061137F">
      <w:pPr>
        <w:pStyle w:val="ListParagraph"/>
        <w:numPr>
          <w:ilvl w:val="0"/>
          <w:numId w:val="9"/>
        </w:numPr>
      </w:pPr>
      <w:r>
        <w:t>All department layers being involved in estimation exposes Propel to risk of time investment without revenue.</w:t>
      </w:r>
    </w:p>
    <w:p w14:paraId="1EB6C403" w14:textId="0035105C" w:rsidR="0061137F" w:rsidRDefault="0061137F" w:rsidP="0061137F">
      <w:pPr>
        <w:pStyle w:val="ListParagraph"/>
        <w:numPr>
          <w:ilvl w:val="0"/>
          <w:numId w:val="9"/>
        </w:numPr>
      </w:pPr>
      <w:r>
        <w:t>Engineers’ hours not being billable due to under-estimated work, caused by inconsistencies in engineer skill &amp; ability.</w:t>
      </w:r>
    </w:p>
    <w:p w14:paraId="294B1E3F" w14:textId="78DA3FF1" w:rsidR="0061137F" w:rsidRDefault="0061137F" w:rsidP="0061137F">
      <w:pPr>
        <w:pStyle w:val="ListParagraph"/>
        <w:numPr>
          <w:ilvl w:val="0"/>
          <w:numId w:val="9"/>
        </w:numPr>
      </w:pPr>
      <w:r>
        <w:t>Misunderstanding clients’ systems technical demands &amp; requirements leads to task underestimation.</w:t>
      </w:r>
    </w:p>
    <w:p w14:paraId="6FA1935A" w14:textId="77777777" w:rsidR="000649DE" w:rsidRDefault="000649DE" w:rsidP="001533E9"/>
    <w:p w14:paraId="391D0D38" w14:textId="243CC6B1" w:rsidR="00933764" w:rsidRPr="00933764" w:rsidRDefault="00933764" w:rsidP="00933764">
      <w:pPr>
        <w:pStyle w:val="Heading2"/>
      </w:pPr>
      <w:bookmarkStart w:id="4" w:name="_Toc168226848"/>
      <w:r>
        <w:t>Identifying process outcomes</w:t>
      </w:r>
      <w:bookmarkEnd w:id="4"/>
    </w:p>
    <w:p w14:paraId="0CA99C44" w14:textId="6320C363" w:rsidR="005A6255" w:rsidRDefault="00DA11DE" w:rsidP="001533E9">
      <w:r>
        <w:t>Before modelling and justifying suggestions for change, Propel needs to identify people who influence the process as well as an effective way to measure process performance. Without considering these elements, it isn’t possible to objectively measure the outcomes of process change.</w:t>
      </w:r>
    </w:p>
    <w:p w14:paraId="50E24B48" w14:textId="77777777" w:rsidR="005A6255" w:rsidRDefault="005A6255" w:rsidP="005A6255">
      <w:pPr>
        <w:pStyle w:val="NormalWeb"/>
        <w:keepNext/>
        <w:jc w:val="center"/>
      </w:pPr>
      <w:r>
        <w:rPr>
          <w:noProof/>
        </w:rPr>
        <w:drawing>
          <wp:inline distT="0" distB="0" distL="0" distR="0" wp14:anchorId="078F76FF" wp14:editId="7419B137">
            <wp:extent cx="4198971" cy="3545414"/>
            <wp:effectExtent l="0" t="0" r="0" b="0"/>
            <wp:docPr id="1765524122" name="Picture 4" descr="A diagram of a company's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122" name="Picture 4" descr="A diagram of a company's pro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114" cy="3551445"/>
                    </a:xfrm>
                    <a:prstGeom prst="rect">
                      <a:avLst/>
                    </a:prstGeom>
                    <a:noFill/>
                    <a:ln>
                      <a:noFill/>
                    </a:ln>
                  </pic:spPr>
                </pic:pic>
              </a:graphicData>
            </a:graphic>
          </wp:inline>
        </w:drawing>
      </w:r>
    </w:p>
    <w:p w14:paraId="25D4C8A4" w14:textId="3DE1C400" w:rsidR="005A6255" w:rsidRDefault="005A6255" w:rsidP="005A625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9431B3">
        <w:rPr>
          <w:noProof/>
        </w:rPr>
        <w:t>8</w:t>
      </w:r>
      <w:r>
        <w:fldChar w:fldCharType="end"/>
      </w:r>
      <w:r>
        <w:t xml:space="preserve"> - Stakeholder </w:t>
      </w:r>
      <w:r w:rsidR="00266912">
        <w:t>Power/Interest Grid</w:t>
      </w:r>
    </w:p>
    <w:p w14:paraId="6B42F497" w14:textId="6DCD51BF" w:rsidR="005A6255" w:rsidRDefault="006C04F8" w:rsidP="001533E9">
      <w:r>
        <w:t>A stakeholder power/interest grid allows a business to discover stakeholders who</w:t>
      </w:r>
      <w:r w:rsidR="00A75746">
        <w:t xml:space="preserve"> have the most influence over process change. Change of business process should be targeting the interests of the stakeholders in the higher quadrants.</w:t>
      </w:r>
      <w:r w:rsidR="00133E79">
        <w:t xml:space="preserve"> This is important, as typically business process change occurs only at the management level, Kotter (1996) argues </w:t>
      </w:r>
      <w:r w:rsidR="007142DE">
        <w:t>you must involve all levels of the organisation for successful change.</w:t>
      </w:r>
    </w:p>
    <w:p w14:paraId="42A1ED08" w14:textId="77777777" w:rsidR="00F709FA" w:rsidRDefault="00F709FA" w:rsidP="001533E9"/>
    <w:p w14:paraId="59866F40" w14:textId="77777777" w:rsidR="00F709FA" w:rsidRDefault="00F709FA" w:rsidP="00F709FA">
      <w:pPr>
        <w:keepNext/>
        <w:jc w:val="center"/>
      </w:pPr>
      <w:r>
        <w:rPr>
          <w:noProof/>
        </w:rPr>
        <w:lastRenderedPageBreak/>
        <w:drawing>
          <wp:inline distT="0" distB="0" distL="0" distR="0" wp14:anchorId="11E33387" wp14:editId="360FE544">
            <wp:extent cx="4896149" cy="2181420"/>
            <wp:effectExtent l="0" t="0" r="0" b="9525"/>
            <wp:docPr id="1577181200" name="Picture 4" descr="A diagram of service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1200" name="Picture 4" descr="A diagram of service deliver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007" cy="2186257"/>
                    </a:xfrm>
                    <a:prstGeom prst="rect">
                      <a:avLst/>
                    </a:prstGeom>
                    <a:noFill/>
                    <a:ln>
                      <a:noFill/>
                    </a:ln>
                  </pic:spPr>
                </pic:pic>
              </a:graphicData>
            </a:graphic>
          </wp:inline>
        </w:drawing>
      </w:r>
    </w:p>
    <w:p w14:paraId="3242436D" w14:textId="6AE2F0C8" w:rsidR="00F709FA" w:rsidRDefault="00F709FA" w:rsidP="00F709FA">
      <w:pPr>
        <w:pStyle w:val="Caption"/>
        <w:jc w:val="center"/>
      </w:pPr>
      <w:r>
        <w:t xml:space="preserve">Figure </w:t>
      </w:r>
      <w:r>
        <w:fldChar w:fldCharType="begin"/>
      </w:r>
      <w:r>
        <w:instrText xml:space="preserve"> SEQ Figure \* ARABIC </w:instrText>
      </w:r>
      <w:r>
        <w:fldChar w:fldCharType="separate"/>
      </w:r>
      <w:r w:rsidR="009431B3">
        <w:rPr>
          <w:noProof/>
        </w:rPr>
        <w:t>9</w:t>
      </w:r>
      <w:r>
        <w:fldChar w:fldCharType="end"/>
      </w:r>
      <w:r>
        <w:t xml:space="preserve"> - Primary Stakeholders</w:t>
      </w:r>
    </w:p>
    <w:p w14:paraId="0602C8A4" w14:textId="2C1B88AB" w:rsidR="003F78BF" w:rsidRDefault="00F709FA" w:rsidP="001533E9">
      <w:r>
        <w:t>The primary stakeholders to keep involved, based on figure 8, are displayed in figure 9.</w:t>
      </w:r>
    </w:p>
    <w:p w14:paraId="76C1B144" w14:textId="77777777" w:rsidR="00682099" w:rsidRDefault="00682099" w:rsidP="00682099">
      <w:pPr>
        <w:keepNext/>
        <w:jc w:val="center"/>
      </w:pPr>
      <w:r>
        <w:rPr>
          <w:noProof/>
        </w:rPr>
        <w:drawing>
          <wp:inline distT="0" distB="0" distL="0" distR="0" wp14:anchorId="38D60291" wp14:editId="5113EDE0">
            <wp:extent cx="6645910" cy="3624580"/>
            <wp:effectExtent l="0" t="0" r="2540" b="0"/>
            <wp:docPr id="217606727" name="Picture 5"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06727" name="Picture 5" descr="A chart with text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24580"/>
                    </a:xfrm>
                    <a:prstGeom prst="rect">
                      <a:avLst/>
                    </a:prstGeom>
                    <a:noFill/>
                    <a:ln>
                      <a:noFill/>
                    </a:ln>
                  </pic:spPr>
                </pic:pic>
              </a:graphicData>
            </a:graphic>
          </wp:inline>
        </w:drawing>
      </w:r>
    </w:p>
    <w:p w14:paraId="3D09AE86" w14:textId="48311ED4" w:rsidR="00682099" w:rsidRDefault="00682099" w:rsidP="00682099">
      <w:pPr>
        <w:pStyle w:val="Caption"/>
        <w:jc w:val="center"/>
      </w:pPr>
      <w:r>
        <w:t xml:space="preserve">Figure </w:t>
      </w:r>
      <w:r>
        <w:fldChar w:fldCharType="begin"/>
      </w:r>
      <w:r>
        <w:instrText xml:space="preserve"> SEQ Figure \* ARABIC </w:instrText>
      </w:r>
      <w:r>
        <w:fldChar w:fldCharType="separate"/>
      </w:r>
      <w:r w:rsidR="009431B3">
        <w:rPr>
          <w:noProof/>
        </w:rPr>
        <w:t>10</w:t>
      </w:r>
      <w:r>
        <w:fldChar w:fldCharType="end"/>
      </w:r>
      <w:r>
        <w:t xml:space="preserve"> - Stakeholder Interest Table</w:t>
      </w:r>
    </w:p>
    <w:p w14:paraId="3CE87C12" w14:textId="77777777" w:rsidR="00933764" w:rsidRDefault="001E4D8B" w:rsidP="001533E9">
      <w:r>
        <w:t>Using Harmon’s method (p.96, 2019), figure 10 describes performance indicators and objectives of key stakeholders, this information is vital in understanding the desired outcomes of process change modelling.</w:t>
      </w:r>
    </w:p>
    <w:p w14:paraId="3D2497DE" w14:textId="3D2B304B" w:rsidR="00682099" w:rsidRDefault="001E4D8B" w:rsidP="001533E9">
      <w:r>
        <w:t xml:space="preserve"> </w:t>
      </w:r>
    </w:p>
    <w:p w14:paraId="148E4BA1" w14:textId="42DD6257" w:rsidR="00997C41" w:rsidRDefault="00997C41" w:rsidP="00997C41">
      <w:pPr>
        <w:pStyle w:val="Heading2"/>
      </w:pPr>
      <w:bookmarkStart w:id="5" w:name="_Toc168226849"/>
      <w:r>
        <w:t xml:space="preserve">Process </w:t>
      </w:r>
      <w:bookmarkEnd w:id="5"/>
      <w:r w:rsidR="00642487">
        <w:t>measurement.</w:t>
      </w:r>
    </w:p>
    <w:p w14:paraId="359EFDB9" w14:textId="4DB96855" w:rsidR="003F78BF" w:rsidRDefault="003F78BF" w:rsidP="001533E9">
      <w:r>
        <w:t xml:space="preserve">Furthermore, to understand measurable factors of </w:t>
      </w:r>
      <w:proofErr w:type="spellStart"/>
      <w:r>
        <w:t>Propel’s</w:t>
      </w:r>
      <w:proofErr w:type="spellEnd"/>
      <w:r>
        <w:t xml:space="preserve"> service delivery, the following </w:t>
      </w:r>
      <w:r w:rsidR="00997C41">
        <w:t xml:space="preserve">section </w:t>
      </w:r>
      <w:r>
        <w:t>details internal and external points, categorised by Harmon’s (2019, page 85) lagging and leading data analytical tools</w:t>
      </w:r>
      <w:r w:rsidR="00F709FA">
        <w:t>.</w:t>
      </w:r>
    </w:p>
    <w:p w14:paraId="3639EF88" w14:textId="77777777" w:rsidR="00C3056E" w:rsidRDefault="00C3056E" w:rsidP="00C3056E">
      <w:pPr>
        <w:keepNext/>
        <w:jc w:val="center"/>
      </w:pPr>
      <w:r>
        <w:rPr>
          <w:noProof/>
        </w:rPr>
        <w:lastRenderedPageBreak/>
        <w:drawing>
          <wp:inline distT="0" distB="0" distL="0" distR="0" wp14:anchorId="0D9B46EB" wp14:editId="18FC557A">
            <wp:extent cx="6645910" cy="3422015"/>
            <wp:effectExtent l="0" t="0" r="2540" b="6985"/>
            <wp:docPr id="1420532920" name="Picture 5" descr="A graph of a bar and 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2920" name="Picture 5" descr="A graph of a bar and a graph of a ba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422015"/>
                    </a:xfrm>
                    <a:prstGeom prst="rect">
                      <a:avLst/>
                    </a:prstGeom>
                    <a:noFill/>
                    <a:ln>
                      <a:noFill/>
                    </a:ln>
                  </pic:spPr>
                </pic:pic>
              </a:graphicData>
            </a:graphic>
          </wp:inline>
        </w:drawing>
      </w:r>
    </w:p>
    <w:p w14:paraId="67A705ED" w14:textId="0A88C5DB" w:rsidR="00C3056E" w:rsidRDefault="00C3056E" w:rsidP="00C3056E">
      <w:pPr>
        <w:pStyle w:val="Caption"/>
        <w:jc w:val="center"/>
      </w:pPr>
      <w:r>
        <w:t xml:space="preserve">Figure </w:t>
      </w:r>
      <w:r>
        <w:fldChar w:fldCharType="begin"/>
      </w:r>
      <w:r>
        <w:instrText xml:space="preserve"> SEQ Figure \* ARABIC </w:instrText>
      </w:r>
      <w:r>
        <w:fldChar w:fldCharType="separate"/>
      </w:r>
      <w:r w:rsidR="009431B3">
        <w:rPr>
          <w:noProof/>
        </w:rPr>
        <w:t>11</w:t>
      </w:r>
      <w:r>
        <w:fldChar w:fldCharType="end"/>
      </w:r>
      <w:r>
        <w:t xml:space="preserve"> - Billable Hours Lagging &amp; Leading measurements.</w:t>
      </w:r>
    </w:p>
    <w:p w14:paraId="1B1CAD88" w14:textId="77777777" w:rsidR="00C3056E" w:rsidRDefault="00C3056E" w:rsidP="001533E9"/>
    <w:p w14:paraId="279A312D" w14:textId="46A046DD" w:rsidR="00997C41" w:rsidRDefault="00EC628D" w:rsidP="001533E9">
      <w:r>
        <w:t xml:space="preserve">Propel measure </w:t>
      </w:r>
      <w:r w:rsidR="0092001C">
        <w:t xml:space="preserve">internal </w:t>
      </w:r>
      <w:r>
        <w:t xml:space="preserve">billable hours as the primary indicator of revenue, historical average hours logged is a lagging metric to compare to for </w:t>
      </w:r>
      <w:r w:rsidR="00360337">
        <w:t>year-on-year</w:t>
      </w:r>
      <w:r>
        <w:t xml:space="preserve"> progression, whereas the number of hours scheduled is a leading metric to judge how work Propel is acquiring.</w:t>
      </w:r>
      <w:r w:rsidR="00360337">
        <w:t xml:space="preserve"> </w:t>
      </w:r>
      <w:r w:rsidR="00C623F2">
        <w:t>Both</w:t>
      </w:r>
      <w:r w:rsidR="00360337">
        <w:t xml:space="preserve"> can be used to create targeted outcomes for business process change</w:t>
      </w:r>
      <w:r w:rsidR="00C623F2">
        <w:t xml:space="preserve">, illustrated in figure </w:t>
      </w:r>
      <w:r w:rsidR="00F709FA">
        <w:t>1</w:t>
      </w:r>
      <w:r w:rsidR="00682099">
        <w:t>1</w:t>
      </w:r>
      <w:r w:rsidR="00360337">
        <w:t>.</w:t>
      </w:r>
      <w:r w:rsidR="00C623F2">
        <w:t xml:space="preserve"> A process </w:t>
      </w:r>
      <w:r w:rsidR="00952B56">
        <w:t xml:space="preserve">change that </w:t>
      </w:r>
      <w:r w:rsidR="00C623F2">
        <w:t>enables Propel to increase both engineer utilization (billable percentage) and increase their backlog is required to meet their main goal of profitability.</w:t>
      </w:r>
    </w:p>
    <w:p w14:paraId="0B40FE7D" w14:textId="77777777" w:rsidR="00C623F2" w:rsidRDefault="00C623F2" w:rsidP="00C623F2"/>
    <w:p w14:paraId="1E9D823E" w14:textId="77777777" w:rsidR="00C3056E" w:rsidRDefault="00C3056E" w:rsidP="00C3056E">
      <w:pPr>
        <w:keepNext/>
        <w:jc w:val="center"/>
      </w:pPr>
      <w:r>
        <w:rPr>
          <w:noProof/>
        </w:rPr>
        <w:lastRenderedPageBreak/>
        <w:drawing>
          <wp:inline distT="0" distB="0" distL="0" distR="0" wp14:anchorId="07EA1816" wp14:editId="3AAAC601">
            <wp:extent cx="4481444" cy="3825028"/>
            <wp:effectExtent l="0" t="0" r="0" b="4445"/>
            <wp:docPr id="1799092378" name="Picture 6" descr="A graph of a graph showing a graph of a client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2378" name="Picture 6" descr="A graph of a graph showing a graph of a client proposa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0771" cy="3832989"/>
                    </a:xfrm>
                    <a:prstGeom prst="rect">
                      <a:avLst/>
                    </a:prstGeom>
                    <a:noFill/>
                    <a:ln>
                      <a:noFill/>
                    </a:ln>
                  </pic:spPr>
                </pic:pic>
              </a:graphicData>
            </a:graphic>
          </wp:inline>
        </w:drawing>
      </w:r>
    </w:p>
    <w:p w14:paraId="1B9A4231" w14:textId="51FF7B74" w:rsidR="00C3056E" w:rsidRPr="00C623F2" w:rsidRDefault="00C3056E" w:rsidP="00C3056E">
      <w:pPr>
        <w:pStyle w:val="Caption"/>
        <w:jc w:val="center"/>
      </w:pPr>
      <w:r>
        <w:t xml:space="preserve">Figure </w:t>
      </w:r>
      <w:r>
        <w:fldChar w:fldCharType="begin"/>
      </w:r>
      <w:r>
        <w:instrText xml:space="preserve"> SEQ Figure \* ARABIC </w:instrText>
      </w:r>
      <w:r>
        <w:fldChar w:fldCharType="separate"/>
      </w:r>
      <w:r w:rsidR="009431B3">
        <w:rPr>
          <w:noProof/>
        </w:rPr>
        <w:t>12</w:t>
      </w:r>
      <w:r>
        <w:fldChar w:fldCharType="end"/>
      </w:r>
      <w:r>
        <w:t xml:space="preserve"> – Client Headcount Lagging &amp; Leading Measures.</w:t>
      </w:r>
    </w:p>
    <w:p w14:paraId="059ACC55" w14:textId="77777777" w:rsidR="00C3056E" w:rsidRDefault="00C3056E" w:rsidP="00C623F2"/>
    <w:p w14:paraId="0F468DAE" w14:textId="4D3F60A3" w:rsidR="00C623F2" w:rsidRDefault="0092001C" w:rsidP="00C623F2">
      <w:r>
        <w:t>Externally, c</w:t>
      </w:r>
      <w:r w:rsidR="00C623F2">
        <w:t>lient acquisition and retention rates are a metric of projected success, as they indirectly contribute to total billable potential through new projects and support work. Lagging measures for this metric are the trend of client headcount over time and percentage scores from client feedback surveys, whereas leading measures are the number of leads</w:t>
      </w:r>
      <w:r w:rsidR="000D2786">
        <w:t xml:space="preserve"> and </w:t>
      </w:r>
      <w:r w:rsidR="00C623F2">
        <w:t>proposals sent</w:t>
      </w:r>
      <w:r w:rsidR="000D2786">
        <w:t xml:space="preserve"> </w:t>
      </w:r>
      <w:r w:rsidR="00D9143D">
        <w:t xml:space="preserve">to clients, </w:t>
      </w:r>
      <w:r w:rsidR="000D2786">
        <w:t>as these create opportunities for Propel to win new clients.</w:t>
      </w:r>
      <w:r w:rsidR="00D9143D">
        <w:t xml:space="preserve"> Figure 1</w:t>
      </w:r>
      <w:r w:rsidR="00682099">
        <w:t>2</w:t>
      </w:r>
      <w:r w:rsidR="00D9143D">
        <w:t xml:space="preserve"> displays an example of how these metrics would be tracked.</w:t>
      </w:r>
    </w:p>
    <w:p w14:paraId="1815CF61" w14:textId="77777777" w:rsidR="00D9143D" w:rsidRDefault="00D9143D" w:rsidP="00C623F2"/>
    <w:p w14:paraId="3234A079" w14:textId="14138D38" w:rsidR="00642487" w:rsidRDefault="00642487" w:rsidP="005D4004">
      <w:pPr>
        <w:pStyle w:val="Heading2"/>
      </w:pPr>
      <w:r>
        <w:t>Options for process change.</w:t>
      </w:r>
    </w:p>
    <w:p w14:paraId="45F1400A" w14:textId="22B76706" w:rsidR="008A739B" w:rsidRDefault="00D160EE" w:rsidP="00642487">
      <w:r>
        <w:t>Propel require a change to increase engineer billable hours by minimising variance in estimates and quotes, and the inefficiencies discovered in the requirements analysis phase of their service delivery process.</w:t>
      </w:r>
    </w:p>
    <w:p w14:paraId="7AE26A63" w14:textId="4099AE99" w:rsidR="00C441AA" w:rsidRPr="00C441AA" w:rsidRDefault="00D92CDD" w:rsidP="00B62B5F">
      <w:r>
        <w:t xml:space="preserve">Rather than relying on individual skill and experience, Propel could invest resources into training programmes and mentorship workshops, aimed at establishing a </w:t>
      </w:r>
      <w:r w:rsidR="00EB5A58">
        <w:t xml:space="preserve">standardised </w:t>
      </w:r>
      <w:r>
        <w:t>process for estimation.</w:t>
      </w:r>
      <w:r w:rsidR="008A739B">
        <w:t xml:space="preserve"> </w:t>
      </w:r>
      <w:r w:rsidR="00EB5A58">
        <w:t xml:space="preserve">Upskilling the existing team minimises process change but requires additional processes. This can lead to short term losses during training </w:t>
      </w:r>
      <w:r w:rsidR="00C441AA">
        <w:t>but still risks variance</w:t>
      </w:r>
      <w:r w:rsidR="00EB5A58">
        <w:t>.</w:t>
      </w:r>
    </w:p>
    <w:p w14:paraId="36FE8546" w14:textId="5D4B9922" w:rsidR="000114D7" w:rsidRDefault="000B5E44" w:rsidP="00B62B5F">
      <w:r>
        <w:t>Propel could reshape the earlier stages of service delivery</w:t>
      </w:r>
      <w:r w:rsidR="00C441AA">
        <w:t xml:space="preserve"> (see F</w:t>
      </w:r>
      <w:r>
        <w:t>igure 6</w:t>
      </w:r>
      <w:r w:rsidR="00C441AA">
        <w:t>)</w:t>
      </w:r>
      <w:r>
        <w:t xml:space="preserve">, </w:t>
      </w:r>
      <w:r w:rsidR="0065206C">
        <w:t>leaving</w:t>
      </w:r>
      <w:r>
        <w:t xml:space="preserve"> requirements analysis and quotation to a Solution Architect (SA)</w:t>
      </w:r>
      <w:r w:rsidR="0065206C">
        <w:t>.</w:t>
      </w:r>
      <w:r w:rsidR="008A739B">
        <w:t xml:space="preserve"> </w:t>
      </w:r>
      <w:r w:rsidR="00EB5A58">
        <w:t>Having an expert with a specific skillset allows consistent estimates across all solutions, this proses a higher risk, with a much greater reward</w:t>
      </w:r>
      <w:r w:rsidR="0065206C">
        <w:t xml:space="preserve"> as engineers are left solely for implementation and delivery</w:t>
      </w:r>
      <w:r w:rsidR="00EB5A58">
        <w:t>.</w:t>
      </w:r>
    </w:p>
    <w:p w14:paraId="20BD8130" w14:textId="77777777" w:rsidR="009505AC" w:rsidRDefault="009505AC" w:rsidP="009505AC">
      <w:pPr>
        <w:pStyle w:val="NormalWeb"/>
        <w:keepNext/>
        <w:jc w:val="center"/>
      </w:pPr>
      <w:r>
        <w:rPr>
          <w:noProof/>
        </w:rPr>
        <w:lastRenderedPageBreak/>
        <w:drawing>
          <wp:inline distT="0" distB="0" distL="0" distR="0" wp14:anchorId="2F7D844D" wp14:editId="6100379B">
            <wp:extent cx="4275582" cy="3392359"/>
            <wp:effectExtent l="0" t="0" r="0" b="0"/>
            <wp:docPr id="442915474" name="Picture 4" descr="A graph of a grap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5474" name="Picture 4" descr="A graph of a graph of a company&#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0325" cy="3396122"/>
                    </a:xfrm>
                    <a:prstGeom prst="rect">
                      <a:avLst/>
                    </a:prstGeom>
                    <a:noFill/>
                    <a:ln>
                      <a:noFill/>
                    </a:ln>
                  </pic:spPr>
                </pic:pic>
              </a:graphicData>
            </a:graphic>
          </wp:inline>
        </w:drawing>
      </w:r>
    </w:p>
    <w:p w14:paraId="7D4958A2" w14:textId="2EE318AE" w:rsidR="009505AC" w:rsidRDefault="009505AC" w:rsidP="009505AC">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9431B3">
        <w:rPr>
          <w:noProof/>
        </w:rPr>
        <w:t>13</w:t>
      </w:r>
      <w:r>
        <w:fldChar w:fldCharType="end"/>
      </w:r>
      <w:r>
        <w:t xml:space="preserve"> - Architect vs Training costs</w:t>
      </w:r>
    </w:p>
    <w:p w14:paraId="46FB5894" w14:textId="77777777" w:rsidR="009505AC" w:rsidRDefault="009505AC" w:rsidP="00B62B5F"/>
    <w:p w14:paraId="765E3B90" w14:textId="5A286C20" w:rsidR="001A3A7D" w:rsidRDefault="002C04BA" w:rsidP="00B62B5F">
      <w:r>
        <w:t>Considering the methods of measurement in earlier analysis, the profitability of both options must be weighed against each other. Training engineers is both an upfront and recurring cost when recruiting, additionally, this is a skill that not all engineers will have experience with, exposing additional risk. Contradictory the salary invested in an architect can provide immediate return on investment through additional billable capacity.</w:t>
      </w:r>
      <w:r w:rsidR="009505AC">
        <w:t xml:space="preserve"> Figure 13 illustrates an example projection.</w:t>
      </w:r>
    </w:p>
    <w:p w14:paraId="3DC8458F" w14:textId="77777777" w:rsidR="009431B3" w:rsidRDefault="009431B3" w:rsidP="00B62B5F"/>
    <w:p w14:paraId="314F714E" w14:textId="77777777" w:rsidR="009431B3" w:rsidRDefault="009431B3" w:rsidP="009431B3">
      <w:pPr>
        <w:keepNext/>
        <w:jc w:val="center"/>
      </w:pPr>
      <w:r w:rsidRPr="009431B3">
        <w:lastRenderedPageBreak/>
        <w:drawing>
          <wp:inline distT="0" distB="0" distL="0" distR="0" wp14:anchorId="6F8BDEF5" wp14:editId="10493D43">
            <wp:extent cx="6341110" cy="3764920"/>
            <wp:effectExtent l="0" t="0" r="2540" b="6985"/>
            <wp:docPr id="4199100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0036" name="Picture 1" descr="A diagram of a diagram&#10;&#10;Description automatically generated"/>
                    <pic:cNvPicPr/>
                  </pic:nvPicPr>
                  <pic:blipFill>
                    <a:blip r:embed="rId28"/>
                    <a:stretch>
                      <a:fillRect/>
                    </a:stretch>
                  </pic:blipFill>
                  <pic:spPr>
                    <a:xfrm>
                      <a:off x="0" y="0"/>
                      <a:ext cx="6342570" cy="3765787"/>
                    </a:xfrm>
                    <a:prstGeom prst="rect">
                      <a:avLst/>
                    </a:prstGeom>
                  </pic:spPr>
                </pic:pic>
              </a:graphicData>
            </a:graphic>
          </wp:inline>
        </w:drawing>
      </w:r>
    </w:p>
    <w:p w14:paraId="712BE7F6" w14:textId="5954D4B0" w:rsidR="00CF0BBC" w:rsidRDefault="009431B3" w:rsidP="009431B3">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 Human Performance Analysis</w:t>
      </w:r>
    </w:p>
    <w:p w14:paraId="6A7CD375" w14:textId="77777777" w:rsidR="009431B3" w:rsidRDefault="009431B3" w:rsidP="009431B3">
      <w:r>
        <w:t>Harmon (2019, pg. 166) advocates for analysing human performance, as both options involve human factors, Figure 14 adapts Rummler’s (1990) “Human Performance Analysis” to show considerations for quality of estimation.</w:t>
      </w:r>
    </w:p>
    <w:p w14:paraId="4F673DB6" w14:textId="1C609F12" w:rsidR="00CF0BBC" w:rsidRDefault="009431B3" w:rsidP="00B62B5F">
      <w:r>
        <w:t>The “Software Estimation Activity” encapsulates all sub-processes displayed in Figure 6, until the “Project Kick-Off” procedure. This activity is the primary location process change for Propel Tech is proposed. This flowchart is adapted in Figure 15 to illustrate the proposal changes under this activity.</w:t>
      </w:r>
    </w:p>
    <w:p w14:paraId="68AA9DDB" w14:textId="33FBDC34" w:rsidR="00927A13" w:rsidRDefault="00927A13" w:rsidP="00B62B5F">
      <w:r>
        <w:t xml:space="preserve">The analysis shown in </w:t>
      </w:r>
      <w:r>
        <w:t xml:space="preserve">Figure 14 reveals that implementation of training programmes could introduce friction, as each of the factors shown in the human performance analysis would have to be considered for each engineer, this could expose Propel to </w:t>
      </w:r>
      <w:r>
        <w:t>further</w:t>
      </w:r>
      <w:r>
        <w:t xml:space="preserve"> challenges </w:t>
      </w:r>
      <w:r>
        <w:t xml:space="preserve">including </w:t>
      </w:r>
      <w:r>
        <w:t>managing human performance across all departments</w:t>
      </w:r>
      <w:r>
        <w:t>, requiring a greater effort and potentially recruitment of human resources staff</w:t>
      </w:r>
      <w:r>
        <w:t>.</w:t>
      </w:r>
    </w:p>
    <w:p w14:paraId="3CFE1D3E" w14:textId="0934ABC6" w:rsidR="00726963" w:rsidRDefault="000114D7" w:rsidP="00927A13">
      <w:r>
        <w:t xml:space="preserve">Despite higher initial risk, recruiting a Solution Architect and re-structuring the estimation/quotation stage of the process best aligns with the interests, KPIs and objectives identified </w:t>
      </w:r>
      <w:r w:rsidR="004D0DD7">
        <w:t xml:space="preserve">for key stakeholders </w:t>
      </w:r>
      <w:r>
        <w:t xml:space="preserve">in Figure 10. This approach ensures accurate estimates, satisfies client interests, </w:t>
      </w:r>
      <w:r w:rsidR="006C1983">
        <w:t xml:space="preserve">and </w:t>
      </w:r>
      <w:r>
        <w:t>increases engineer billable potential.</w:t>
      </w:r>
    </w:p>
    <w:p w14:paraId="76705F39" w14:textId="39D0553B" w:rsidR="00927A13" w:rsidRDefault="00927A13" w:rsidP="00927A13">
      <w:r>
        <w:t xml:space="preserve">All analysis conclusively </w:t>
      </w:r>
      <w:r w:rsidR="000D394E">
        <w:t>suggests</w:t>
      </w:r>
      <w:r>
        <w:t xml:space="preserve"> that recruiting a Solution Architect has the best outcomes for Propel Tech’s service delivery process.</w:t>
      </w:r>
    </w:p>
    <w:p w14:paraId="5DAAD79C" w14:textId="77777777" w:rsidR="00726963" w:rsidRDefault="00726963" w:rsidP="00074F5A">
      <w:pPr>
        <w:pStyle w:val="NormalWeb"/>
      </w:pPr>
    </w:p>
    <w:p w14:paraId="705B2AE0" w14:textId="77777777" w:rsidR="00726963" w:rsidRDefault="00726963" w:rsidP="00074F5A">
      <w:pPr>
        <w:pStyle w:val="NormalWeb"/>
      </w:pPr>
    </w:p>
    <w:p w14:paraId="3DF63FDC" w14:textId="77777777" w:rsidR="00726963" w:rsidRDefault="00726963" w:rsidP="00074F5A">
      <w:pPr>
        <w:pStyle w:val="NormalWeb"/>
      </w:pPr>
    </w:p>
    <w:p w14:paraId="3CFCDF83" w14:textId="77777777" w:rsidR="00726963" w:rsidRDefault="00726963" w:rsidP="00074F5A">
      <w:pPr>
        <w:pStyle w:val="NormalWeb"/>
      </w:pPr>
    </w:p>
    <w:p w14:paraId="39A272EE" w14:textId="77777777" w:rsidR="00726963" w:rsidRDefault="00726963" w:rsidP="00074F5A">
      <w:pPr>
        <w:pStyle w:val="NormalWeb"/>
      </w:pPr>
    </w:p>
    <w:p w14:paraId="6BEED2AD" w14:textId="77777777" w:rsidR="00726963" w:rsidRDefault="00726963" w:rsidP="00074F5A">
      <w:pPr>
        <w:pStyle w:val="NormalWeb"/>
      </w:pPr>
    </w:p>
    <w:p w14:paraId="265670EE" w14:textId="77777777" w:rsidR="00726963" w:rsidRDefault="00726963" w:rsidP="001533E9">
      <w:pPr>
        <w:sectPr w:rsidR="00726963" w:rsidSect="00C90544">
          <w:pgSz w:w="11906" w:h="16838"/>
          <w:pgMar w:top="720" w:right="720" w:bottom="720" w:left="720" w:header="708" w:footer="708" w:gutter="0"/>
          <w:cols w:space="708"/>
          <w:docGrid w:linePitch="360"/>
        </w:sectPr>
      </w:pPr>
    </w:p>
    <w:p w14:paraId="0A4C1671" w14:textId="77777777" w:rsidR="001A3A7D" w:rsidRDefault="001A3A7D" w:rsidP="001533E9"/>
    <w:p w14:paraId="44D5EF05" w14:textId="6A619518" w:rsidR="00726963" w:rsidRDefault="00726963" w:rsidP="00726963">
      <w:pPr>
        <w:pStyle w:val="Heading2"/>
      </w:pPr>
      <w:r>
        <w:t>Modelling process change</w:t>
      </w:r>
    </w:p>
    <w:p w14:paraId="09E02AB5" w14:textId="77777777" w:rsidR="001A3A7D" w:rsidRPr="001533E9" w:rsidRDefault="001A3A7D" w:rsidP="001533E9"/>
    <w:p w14:paraId="3180CE02" w14:textId="77777777" w:rsidR="00726963" w:rsidRDefault="00726963" w:rsidP="00726963">
      <w:pPr>
        <w:pStyle w:val="NormalWeb"/>
        <w:keepNext/>
      </w:pPr>
      <w:r>
        <w:rPr>
          <w:noProof/>
        </w:rPr>
        <w:drawing>
          <wp:inline distT="0" distB="0" distL="0" distR="0" wp14:anchorId="66EC017D" wp14:editId="7B09D13A">
            <wp:extent cx="10041939" cy="3884257"/>
            <wp:effectExtent l="0" t="0" r="0" b="2540"/>
            <wp:docPr id="1220187744"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87744" name="Picture 6" descr="A diagram of a compan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47609" cy="3886450"/>
                    </a:xfrm>
                    <a:prstGeom prst="rect">
                      <a:avLst/>
                    </a:prstGeom>
                    <a:noFill/>
                    <a:ln>
                      <a:noFill/>
                    </a:ln>
                  </pic:spPr>
                </pic:pic>
              </a:graphicData>
            </a:graphic>
          </wp:inline>
        </w:drawing>
      </w:r>
    </w:p>
    <w:p w14:paraId="2D12A431" w14:textId="79CB1029" w:rsidR="00726963" w:rsidRDefault="00726963" w:rsidP="00726963">
      <w:pPr>
        <w:pStyle w:val="Caption"/>
        <w:jc w:val="center"/>
      </w:pPr>
      <w:r>
        <w:t xml:space="preserve">Figure </w:t>
      </w:r>
      <w:r w:rsidR="00DC1754">
        <w:t>15</w:t>
      </w:r>
      <w:r>
        <w:t xml:space="preserve"> - Process Swimlane Flowchart. Adapted for Solution Architects.</w:t>
      </w:r>
    </w:p>
    <w:p w14:paraId="5D372CBB" w14:textId="660462C6" w:rsidR="00B3086E" w:rsidRPr="00726963" w:rsidRDefault="00726963" w:rsidP="00726963">
      <w:pPr>
        <w:sectPr w:rsidR="00B3086E" w:rsidRPr="00726963" w:rsidSect="00726963">
          <w:pgSz w:w="16838" w:h="11906" w:orient="landscape"/>
          <w:pgMar w:top="720" w:right="720" w:bottom="720" w:left="720" w:header="709" w:footer="709" w:gutter="0"/>
          <w:cols w:space="708"/>
          <w:docGrid w:linePitch="360"/>
        </w:sectPr>
      </w:pPr>
      <w:r>
        <w:t>The flowchart above, adapted from Figure 6,</w:t>
      </w:r>
      <w:r w:rsidR="00914393">
        <w:t xml:space="preserve"> proposes the change to the process,</w:t>
      </w:r>
      <w:r>
        <w:t xml:space="preserve"> show</w:t>
      </w:r>
      <w:r w:rsidR="00914393">
        <w:t>ing</w:t>
      </w:r>
      <w:r>
        <w:t xml:space="preserve"> how engineer</w:t>
      </w:r>
      <w:r w:rsidR="001F1EBB">
        <w:t>’s</w:t>
      </w:r>
      <w:r>
        <w:t xml:space="preserve"> responsibilities are reduced to project implementation and support resolution. The departmental overlap described earlier is removed from the earlier phase of service delivery entirely. </w:t>
      </w:r>
      <w:r w:rsidR="00F275EA">
        <w:t>The new structure of this flowchart closely resembles the waterfall project management methodology, which is uniquely beneficial in consulting, as billable work is tied to a previously agreed upon scope</w:t>
      </w:r>
      <w:r w:rsidR="00B3086E">
        <w:t>.</w:t>
      </w:r>
    </w:p>
    <w:p w14:paraId="26E6F15D" w14:textId="77777777" w:rsidR="00B3086E" w:rsidRDefault="00B3086E" w:rsidP="00585A58"/>
    <w:p w14:paraId="467A9ADE" w14:textId="77777777" w:rsidR="00B3086E" w:rsidRDefault="00B3086E" w:rsidP="00585A58"/>
    <w:p w14:paraId="093DBE04" w14:textId="77777777" w:rsidR="00585A58" w:rsidRPr="00585A58" w:rsidRDefault="00585A58" w:rsidP="00585A58"/>
    <w:p w14:paraId="021A1869" w14:textId="00C627E4" w:rsidR="00A3792B" w:rsidRDefault="00AA49DE" w:rsidP="00A3792B">
      <w:pPr>
        <w:pStyle w:val="Heading1"/>
      </w:pPr>
      <w:bookmarkStart w:id="6" w:name="_Toc168226850"/>
      <w:r>
        <w:t>Task 3</w:t>
      </w:r>
      <w:bookmarkEnd w:id="6"/>
    </w:p>
    <w:p w14:paraId="6C065697" w14:textId="5678D045" w:rsidR="000D06F4" w:rsidRDefault="000D06F4" w:rsidP="000D06F4">
      <w:r>
        <w:t xml:space="preserve">Notes: </w:t>
      </w:r>
    </w:p>
    <w:p w14:paraId="59FDF053" w14:textId="77777777" w:rsidR="000D394E" w:rsidRDefault="000D394E" w:rsidP="000D06F4"/>
    <w:p w14:paraId="2D9CAE1F" w14:textId="37667AD2" w:rsidR="000D06F4" w:rsidRDefault="000D06F4" w:rsidP="000D06F4">
      <w:r>
        <w:t>Consider Page 174 Figure 10.10 from Paul Harmon, Automation Modelling etc.</w:t>
      </w:r>
    </w:p>
    <w:p w14:paraId="48D19642" w14:textId="6FFA70A1" w:rsidR="000D394E" w:rsidRDefault="000D394E" w:rsidP="000D06F4">
      <w:r>
        <w:t>Dive into Business Process Management Software tools</w:t>
      </w:r>
    </w:p>
    <w:p w14:paraId="3C9A2F41" w14:textId="363270CC" w:rsidR="000D06F4" w:rsidRPr="000D06F4" w:rsidRDefault="000D06F4" w:rsidP="000D06F4">
      <w:r>
        <w:t>Machine Learning to aid calculation of task estimates.</w:t>
      </w:r>
    </w:p>
    <w:p w14:paraId="22C3BCEB" w14:textId="77777777" w:rsidR="00585A58" w:rsidRPr="000D394E" w:rsidRDefault="00585A58" w:rsidP="00585A58">
      <w:pPr>
        <w:rPr>
          <w:b/>
          <w:bCs/>
        </w:rPr>
      </w:pPr>
      <w:r w:rsidRPr="000D394E">
        <w:rPr>
          <w:b/>
          <w:bCs/>
        </w:rPr>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Pr="000D394E" w:rsidRDefault="00585A58" w:rsidP="00585A58">
      <w:pPr>
        <w:rPr>
          <w:b/>
          <w:bCs/>
        </w:rPr>
      </w:pPr>
      <w:r w:rsidRPr="000D394E">
        <w:rPr>
          <w:b/>
          <w:bCs/>
        </w:rPr>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31FBBC91" w14:textId="6CA70922" w:rsidR="00AA49DE" w:rsidRDefault="00AA49DE" w:rsidP="00AA49DE">
      <w:pPr>
        <w:pStyle w:val="Heading1"/>
      </w:pPr>
      <w:bookmarkStart w:id="7" w:name="_Toc168226852"/>
      <w:r>
        <w:t>Appendi</w:t>
      </w:r>
      <w:r w:rsidR="000A6E86">
        <w:t>x A</w:t>
      </w:r>
      <w:bookmarkEnd w:id="7"/>
    </w:p>
    <w:p w14:paraId="7577E021" w14:textId="42568738" w:rsidR="000A6E86" w:rsidRDefault="000A6E86" w:rsidP="000A6E86">
      <w:pPr>
        <w:pStyle w:val="Heading3"/>
      </w:pPr>
      <w:bookmarkStart w:id="8" w:name="_Toc168226853"/>
      <w:r>
        <w:t>Figure 1: Porter’s Value Chain Analysis for Propel Tech</w:t>
      </w:r>
      <w:bookmarkEnd w:id="8"/>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bookmarkStart w:id="9" w:name="_Toc168226854"/>
      <w:r>
        <w:t>Figure 2: Propel Tech’s Primary Activity Map</w:t>
      </w:r>
      <w:bookmarkEnd w:id="9"/>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bookmarkStart w:id="10" w:name="_Toc168226855"/>
      <w:r>
        <w:t>Figure 3: Harmon’s Organisation Diagram of Propel Tech</w:t>
      </w:r>
      <w:bookmarkEnd w:id="10"/>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bookmarkStart w:id="11" w:name="_Toc168226856"/>
      <w:r>
        <w:t>Figure 4: Service Delivery Process Scope Diagram</w:t>
      </w:r>
      <w:bookmarkEnd w:id="11"/>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bookmarkStart w:id="12" w:name="_Toc168226857"/>
      <w:r>
        <w:lastRenderedPageBreak/>
        <w:t>Figure 5: Service Delivery Process Hierarchy Diagram</w:t>
      </w:r>
      <w:bookmarkEnd w:id="12"/>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bookmarkStart w:id="13" w:name="_Toc168226858"/>
      <w:r>
        <w:t>Figure 6:</w:t>
      </w:r>
      <w:r w:rsidR="00004604">
        <w:t xml:space="preserve"> Process Swim-Lane Flowchart</w:t>
      </w:r>
      <w:bookmarkEnd w:id="13"/>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bookmarkStart w:id="14" w:name="_Toc168226859"/>
      <w:r>
        <w:t>Figure 7: Fishbone Diagram of Risk Factors to Service Delivery</w:t>
      </w:r>
      <w:bookmarkEnd w:id="14"/>
    </w:p>
    <w:p w14:paraId="724FAE76" w14:textId="5A2FF955" w:rsid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0734FF4B" w14:textId="77777777" w:rsidR="005A6255" w:rsidRDefault="005A6255" w:rsidP="00C7611C"/>
    <w:p w14:paraId="675C8FB3" w14:textId="3BAFBCB0" w:rsidR="005A6255" w:rsidRDefault="005A6255" w:rsidP="005A6255">
      <w:pPr>
        <w:pStyle w:val="Heading3"/>
      </w:pPr>
      <w:bookmarkStart w:id="15" w:name="_Toc168226860"/>
      <w:r>
        <w:t xml:space="preserve">Figure 8: Stakeholder Interest / </w:t>
      </w:r>
      <w:r w:rsidR="00266912">
        <w:t>Grid</w:t>
      </w:r>
      <w:r>
        <w:t xml:space="preserve"> Ratio Chart</w:t>
      </w:r>
      <w:bookmarkEnd w:id="15"/>
    </w:p>
    <w:p w14:paraId="5247CB02" w14:textId="19FE9962" w:rsidR="005A6255" w:rsidRDefault="005A6255" w:rsidP="005A6255">
      <w:r>
        <w:t>This chart maps internal &amp; external stakeholders that can influence change within the service delivery process of Propel Tech.</w:t>
      </w:r>
    </w:p>
    <w:p w14:paraId="67742456" w14:textId="77777777" w:rsidR="00F709FA" w:rsidRDefault="00F709FA" w:rsidP="005A6255"/>
    <w:p w14:paraId="53684695" w14:textId="6408EDF6" w:rsidR="00F709FA" w:rsidRDefault="00F709FA" w:rsidP="00F709FA">
      <w:pPr>
        <w:pStyle w:val="Heading3"/>
      </w:pPr>
      <w:bookmarkStart w:id="16" w:name="_Toc168226861"/>
      <w:r>
        <w:t>Figure 9: Primary Stakeholders</w:t>
      </w:r>
      <w:bookmarkEnd w:id="16"/>
    </w:p>
    <w:p w14:paraId="5A8FE97D" w14:textId="6E8779E9" w:rsidR="00C3056E" w:rsidRDefault="00F709FA" w:rsidP="005A6255">
      <w:r>
        <w:t xml:space="preserve">This diagram displayed the 4 most important stakeholders, adapted from figure </w:t>
      </w:r>
      <w:r w:rsidR="00642487">
        <w:t>8</w:t>
      </w:r>
      <w:r>
        <w:t>.</w:t>
      </w:r>
    </w:p>
    <w:p w14:paraId="155DFFAD" w14:textId="77777777" w:rsidR="00F709FA" w:rsidRDefault="00F709FA" w:rsidP="005A6255"/>
    <w:p w14:paraId="4AC22312" w14:textId="2EBED54E" w:rsidR="00642487" w:rsidRDefault="00642487" w:rsidP="00642487">
      <w:pPr>
        <w:pStyle w:val="Heading3"/>
      </w:pPr>
      <w:r>
        <w:t>Figure 10: Stakeholder Interest Table</w:t>
      </w:r>
    </w:p>
    <w:p w14:paraId="462338C9" w14:textId="2C3F5BFE" w:rsidR="00642487" w:rsidRDefault="00642487" w:rsidP="00642487">
      <w:r>
        <w:t>This table lists the key stakeholders identified from earlier analysis to involve in process change management. It details their interests, key performance indicators and objectives set to achieve them.</w:t>
      </w:r>
    </w:p>
    <w:p w14:paraId="3D73F6DA" w14:textId="77777777" w:rsidR="00033E90" w:rsidRPr="00642487" w:rsidRDefault="00033E90" w:rsidP="00642487"/>
    <w:p w14:paraId="5ADDCAD0" w14:textId="6B577979" w:rsidR="00C3056E" w:rsidRDefault="00C3056E" w:rsidP="00C3056E">
      <w:pPr>
        <w:pStyle w:val="Heading3"/>
      </w:pPr>
      <w:bookmarkStart w:id="17" w:name="_Toc168226862"/>
      <w:r>
        <w:t xml:space="preserve">Figure </w:t>
      </w:r>
      <w:r w:rsidR="00F709FA">
        <w:t>1</w:t>
      </w:r>
      <w:r w:rsidR="00033E90">
        <w:t>1</w:t>
      </w:r>
      <w:r w:rsidR="00F709FA">
        <w:t>:</w:t>
      </w:r>
      <w:r>
        <w:t xml:space="preserve"> Billable Hours Lagging &amp; Leading measurements.</w:t>
      </w:r>
      <w:bookmarkEnd w:id="17"/>
    </w:p>
    <w:p w14:paraId="7BE0E3A1" w14:textId="43DD3ABB" w:rsidR="00C3056E" w:rsidRDefault="00642487" w:rsidP="00C3056E">
      <w:r>
        <w:t xml:space="preserve">This bar chart displays </w:t>
      </w:r>
      <w:r w:rsidR="00033E90">
        <w:t>examples of measuring lagging and leading data for mapping billable hour percentages over time. It shows how a target goal can be modelled for the future.</w:t>
      </w:r>
    </w:p>
    <w:p w14:paraId="20A11D3B" w14:textId="77777777" w:rsidR="00033E90" w:rsidRDefault="00033E90" w:rsidP="00C3056E"/>
    <w:p w14:paraId="2056EC9A" w14:textId="33A89D4D" w:rsidR="00C3056E" w:rsidRDefault="00C3056E" w:rsidP="00C3056E">
      <w:pPr>
        <w:pStyle w:val="Heading3"/>
      </w:pPr>
      <w:bookmarkStart w:id="18" w:name="_Toc168226863"/>
      <w:r>
        <w:t>Figure 1</w:t>
      </w:r>
      <w:r w:rsidR="00033E90">
        <w:t>2</w:t>
      </w:r>
      <w:r>
        <w:t>: Client Headcount Lagging &amp; Leading measurements.</w:t>
      </w:r>
      <w:bookmarkEnd w:id="18"/>
    </w:p>
    <w:p w14:paraId="7A5C2388" w14:textId="513FEA47" w:rsidR="00033E90" w:rsidRDefault="00033E90" w:rsidP="00033E90">
      <w:r>
        <w:t>This plotted line graph shows both lagging and leading data for client headcount and acquisition. This graph is effective as it identifies the impact of the leading metric and the resultant lagging data trends.</w:t>
      </w:r>
    </w:p>
    <w:p w14:paraId="459425C0" w14:textId="77777777" w:rsidR="009505AC" w:rsidRDefault="009505AC" w:rsidP="00033E90"/>
    <w:p w14:paraId="40A6D7BD" w14:textId="584C0BDD" w:rsidR="009505AC" w:rsidRDefault="009505AC" w:rsidP="009505AC">
      <w:pPr>
        <w:pStyle w:val="Heading3"/>
      </w:pPr>
      <w:r>
        <w:t>Figure 13: Architect vs Training expenses.</w:t>
      </w:r>
    </w:p>
    <w:p w14:paraId="7C3FC316" w14:textId="4FF09D57" w:rsidR="009505AC" w:rsidRDefault="009505AC" w:rsidP="009505AC">
      <w:r>
        <w:t>This graph represents an example measurement of how cost scaling can differ between a single architect and training of an entire engineering team, which is an ongoing process.</w:t>
      </w:r>
    </w:p>
    <w:p w14:paraId="4F48715F" w14:textId="77777777" w:rsidR="00CF0BBC" w:rsidRDefault="00CF0BBC" w:rsidP="009505AC"/>
    <w:p w14:paraId="7F0E5917" w14:textId="049CB8B2" w:rsidR="00074F5A" w:rsidRDefault="00CF0BBC" w:rsidP="00CF0BBC">
      <w:pPr>
        <w:pStyle w:val="Heading3"/>
      </w:pPr>
      <w:r>
        <w:lastRenderedPageBreak/>
        <w:t>Figure 14: Human Performance Analysis.</w:t>
      </w:r>
    </w:p>
    <w:p w14:paraId="56287482" w14:textId="1538CE4F" w:rsidR="00CF0BBC" w:rsidRDefault="00CF0BBC" w:rsidP="009505AC">
      <w:r>
        <w:t>Adapted from Rummler (1990), this illustration documents items to measure the human factors of software task estimation.</w:t>
      </w:r>
    </w:p>
    <w:p w14:paraId="6725E21B" w14:textId="77777777" w:rsidR="00CF0BBC" w:rsidRDefault="00CF0BBC" w:rsidP="009505AC"/>
    <w:p w14:paraId="5608B33D" w14:textId="7CDE4B26" w:rsidR="00074F5A" w:rsidRDefault="00074F5A" w:rsidP="00074F5A">
      <w:pPr>
        <w:pStyle w:val="Heading3"/>
      </w:pPr>
      <w:r>
        <w:t>Figure 1</w:t>
      </w:r>
      <w:r w:rsidR="00CF0BBC">
        <w:t>5</w:t>
      </w:r>
      <w:r>
        <w:t>:</w:t>
      </w:r>
      <w:r w:rsidR="00F46721">
        <w:t xml:space="preserve"> Process Swimlane Flowchart. Adapted for Solution Architects</w:t>
      </w:r>
    </w:p>
    <w:p w14:paraId="74965041" w14:textId="0F1CD583" w:rsidR="00074F5A" w:rsidRPr="009505AC" w:rsidRDefault="00074F5A" w:rsidP="009505AC">
      <w:r>
        <w:t xml:space="preserve">This illustrates an updated Service Delivery flowchart, with the recommendations in place utilizing a solution architect, rather than cross-department estimation. </w:t>
      </w:r>
    </w:p>
    <w:p w14:paraId="51D116FF" w14:textId="44B8B7E2" w:rsidR="00AD1230" w:rsidRDefault="00AD1230" w:rsidP="00AD1230">
      <w:pPr>
        <w:pStyle w:val="Heading1"/>
      </w:pPr>
      <w:bookmarkStart w:id="19" w:name="_Toc168226864"/>
      <w:r>
        <w:t>References</w:t>
      </w:r>
      <w:bookmarkEnd w:id="19"/>
    </w:p>
    <w:p w14:paraId="3138BD2A" w14:textId="467ED5EB" w:rsidR="0059502A" w:rsidRPr="00DC5E01" w:rsidRDefault="0059502A" w:rsidP="00DC5E01">
      <w:r>
        <w:t xml:space="preserve">George, M. et al.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1</w:t>
      </w:r>
      <w:r w:rsidRPr="0059502A">
        <w:rPr>
          <w:vertAlign w:val="superscript"/>
        </w:rPr>
        <w:t>st</w:t>
      </w:r>
      <w:r>
        <w:t xml:space="preserve"> Edition, New York, McGraw-Hill.</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73229A50" w14:textId="3CF6F42F" w:rsidR="00D17BF5"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xml:space="preserve">, 25 June. Updated on 22 April 2024. Available at: </w:t>
      </w:r>
      <w:hyperlink r:id="rId30" w:tgtFrame="_new" w:history="1">
        <w:r>
          <w:rPr>
            <w:rStyle w:val="Hyperlink"/>
          </w:rPr>
          <w:t>https://boardmix.com/examples/value-chain-analysis/</w:t>
        </w:r>
      </w:hyperlink>
      <w:r>
        <w:t xml:space="preserve"> [Accessed: 2</w:t>
      </w:r>
      <w:r w:rsidR="00DC5E01">
        <w:t>1</w:t>
      </w:r>
      <w:r>
        <w:t xml:space="preserve"> May 2024]</w:t>
      </w:r>
    </w:p>
    <w:p w14:paraId="6050F503" w14:textId="028F2074" w:rsidR="007142DE" w:rsidRDefault="007142DE" w:rsidP="009A4A49">
      <w:r w:rsidRPr="007142DE">
        <w:t xml:space="preserve">Kotter, J.P., 1996. </w:t>
      </w:r>
      <w:r w:rsidRPr="007142DE">
        <w:rPr>
          <w:i/>
          <w:iCs/>
        </w:rPr>
        <w:t>Leading Change</w:t>
      </w:r>
      <w:r w:rsidRPr="007142DE">
        <w:t>.</w:t>
      </w:r>
      <w:r>
        <w:t xml:space="preserve"> 1</w:t>
      </w:r>
      <w:r w:rsidRPr="007142DE">
        <w:rPr>
          <w:vertAlign w:val="superscript"/>
        </w:rPr>
        <w:t>st</w:t>
      </w:r>
      <w:r>
        <w:t xml:space="preserve"> Edition.</w:t>
      </w:r>
      <w:r w:rsidRPr="007142DE">
        <w:t xml:space="preserve"> Boston, </w:t>
      </w:r>
      <w:r>
        <w:t>Massachusetts</w:t>
      </w:r>
      <w:r w:rsidRPr="007142DE">
        <w:t>: Harvard Business School Press.</w:t>
      </w:r>
    </w:p>
    <w:p w14:paraId="46850F48" w14:textId="67A27BDA" w:rsidR="0059502A" w:rsidRDefault="0059502A" w:rsidP="009A4A49">
      <w:r>
        <w:t xml:space="preserve">Lewis, S. (n.d.) </w:t>
      </w:r>
      <w:r w:rsidRPr="00DC5E01">
        <w:rPr>
          <w:i/>
          <w:iCs/>
        </w:rPr>
        <w:t>'Fishbone Diagram', TechTarget</w:t>
      </w:r>
      <w:r>
        <w:t xml:space="preserve">. Available at: </w:t>
      </w:r>
      <w:hyperlink r:id="rId31" w:tgtFrame="_new" w:history="1">
        <w:r>
          <w:rPr>
            <w:rStyle w:val="Hyperlink"/>
          </w:rPr>
          <w:t>https://www.techtarget.com/whatis/definition/fishbone-diagram</w:t>
        </w:r>
      </w:hyperlink>
      <w:r>
        <w:t xml:space="preserve"> [Accessed: 28 May 2024].</w:t>
      </w:r>
    </w:p>
    <w:p w14:paraId="3978CCA2" w14:textId="2D5E279E"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6DD2D8CF" w14:textId="1A8D14C1" w:rsidR="00CF0BBC" w:rsidRDefault="00CF0BBC" w:rsidP="009A4A49">
      <w:r>
        <w:t xml:space="preserve">Rummler, G.A., 1990. </w:t>
      </w:r>
      <w:r w:rsidRPr="00CF0BBC">
        <w:rPr>
          <w:rStyle w:val="Strong"/>
          <w:b w:val="0"/>
          <w:bCs w:val="0"/>
        </w:rPr>
        <w:t>Improving Performance: How to Manage the White Space on the Organization Chart</w:t>
      </w:r>
      <w:r>
        <w:t>. 1</w:t>
      </w:r>
      <w:r w:rsidRPr="00CF0BBC">
        <w:rPr>
          <w:vertAlign w:val="superscript"/>
        </w:rPr>
        <w:t>st</w:t>
      </w:r>
      <w:r>
        <w:t xml:space="preserve"> Edition, San Francisco, Jossey-Bass.</w:t>
      </w:r>
    </w:p>
    <w:p w14:paraId="2A6DAA14" w14:textId="7A9F0ECD" w:rsidR="00216344" w:rsidRDefault="00216344" w:rsidP="009A4A49">
      <w:proofErr w:type="spellStart"/>
      <w:r>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7, pp.57-72. 10.5709/ce.1897-9254.123.</w:t>
      </w:r>
    </w:p>
    <w:p w14:paraId="5BA8EF32" w14:textId="778937AE" w:rsidR="005F0E99" w:rsidRDefault="003531CC" w:rsidP="005F0E9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4A36FF24" w14:textId="018C0DB7" w:rsidR="005F0E99" w:rsidRDefault="005F0E99" w:rsidP="005F0E99">
      <w:r>
        <w:t xml:space="preserve">Technology Ally. (2023) ‘Solutions Architect: Role, Responsibilities and Required Skills. </w:t>
      </w:r>
      <w:proofErr w:type="spellStart"/>
      <w:r>
        <w:rPr>
          <w:i/>
          <w:iCs/>
        </w:rPr>
        <w:t>Intellectsoft</w:t>
      </w:r>
      <w:proofErr w:type="spellEnd"/>
      <w:r>
        <w:rPr>
          <w:i/>
          <w:iCs/>
        </w:rPr>
        <w:t xml:space="preserve"> Online Blog, 8</w:t>
      </w:r>
      <w:r w:rsidRPr="005F0E99">
        <w:rPr>
          <w:i/>
          <w:iCs/>
          <w:vertAlign w:val="superscript"/>
        </w:rPr>
        <w:t>th</w:t>
      </w:r>
      <w:r>
        <w:rPr>
          <w:i/>
          <w:iCs/>
        </w:rPr>
        <w:t xml:space="preserve"> September </w:t>
      </w:r>
      <w:r>
        <w:t xml:space="preserve">[online] Available at: </w:t>
      </w:r>
      <w:hyperlink r:id="rId32" w:history="1">
        <w:r w:rsidRPr="00AB3972">
          <w:rPr>
            <w:rStyle w:val="Hyperlink"/>
          </w:rPr>
          <w:t>https://www.intellectsoft.net/blog/what-is-solutions-architect/</w:t>
        </w:r>
      </w:hyperlink>
      <w:r>
        <w:t xml:space="preserve"> [Accessed 03/06/2024]</w:t>
      </w:r>
    </w:p>
    <w:p w14:paraId="1968F886" w14:textId="05551DA0" w:rsidR="004B32F1"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p w14:paraId="6DD3A024" w14:textId="63676C80" w:rsidR="000B0963" w:rsidRDefault="000B0963" w:rsidP="009A4A49">
      <w:r w:rsidRPr="000B0963">
        <w:t xml:space="preserve">Watts, S., 2019. Leading vs Lagging Indicators: What’s The Difference? </w:t>
      </w:r>
      <w:r w:rsidRPr="000B0963">
        <w:rPr>
          <w:i/>
          <w:iCs/>
        </w:rPr>
        <w:t>BMC Blogs,</w:t>
      </w:r>
      <w:r w:rsidRPr="000B0963">
        <w:t xml:space="preserve"> [online] 1 Nov. Available at: https://www.bmc.com/blogs/leading-vs-lagging-indicators/ [Accessed 2 June 2024].</w:t>
      </w:r>
    </w:p>
    <w:p w14:paraId="1398D339" w14:textId="67A92D4C" w:rsidR="00FA574A" w:rsidRPr="009A4A49" w:rsidRDefault="00FA574A" w:rsidP="009A4A49">
      <w:r w:rsidRPr="00FA574A">
        <w:lastRenderedPageBreak/>
        <w:t xml:space="preserve">Wysocki, R. K. (2019) Effective Project Management: Traditional, Agile, Extreme, Hybrid. 8th </w:t>
      </w:r>
      <w:r>
        <w:t xml:space="preserve">Edition. </w:t>
      </w:r>
      <w:r w:rsidRPr="00FA574A">
        <w:t>Hoboken, NJ: Wiley.</w:t>
      </w:r>
    </w:p>
    <w:sectPr w:rsidR="00FA574A"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BE0FD" w14:textId="77777777" w:rsidR="006801F7" w:rsidRDefault="006801F7" w:rsidP="008302B7">
      <w:pPr>
        <w:spacing w:after="0" w:line="240" w:lineRule="auto"/>
      </w:pPr>
      <w:r>
        <w:separator/>
      </w:r>
    </w:p>
  </w:endnote>
  <w:endnote w:type="continuationSeparator" w:id="0">
    <w:p w14:paraId="4A3B4608" w14:textId="77777777" w:rsidR="006801F7" w:rsidRDefault="006801F7"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A2421B" w14:textId="77777777" w:rsidR="006801F7" w:rsidRDefault="006801F7" w:rsidP="008302B7">
      <w:pPr>
        <w:spacing w:after="0" w:line="240" w:lineRule="auto"/>
      </w:pPr>
      <w:r>
        <w:separator/>
      </w:r>
    </w:p>
  </w:footnote>
  <w:footnote w:type="continuationSeparator" w:id="0">
    <w:p w14:paraId="4D178029" w14:textId="77777777" w:rsidR="006801F7" w:rsidRDefault="006801F7"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739F90D8"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A61250">
      <w:rPr>
        <w:rFonts w:cs="Calibri Light"/>
      </w:rPr>
      <w:t>Business Systems and Processes</w:t>
    </w:r>
    <w:r w:rsidR="008302B7" w:rsidRPr="008302B7">
      <w:rPr>
        <w:rFonts w:cs="Calibri Light"/>
      </w:rPr>
      <w:ptab w:relativeTo="margin" w:alignment="right" w:leader="none"/>
    </w:r>
    <w:r w:rsidR="008302B7">
      <w:rPr>
        <w:rFonts w:cs="Calibri Light"/>
      </w:rPr>
      <w:t>QAC020</w:t>
    </w:r>
    <w:r w:rsidR="00A61250">
      <w:rPr>
        <w:rFonts w:cs="Calibri Light"/>
      </w:rPr>
      <w:t>N225K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16C74"/>
    <w:multiLevelType w:val="hybridMultilevel"/>
    <w:tmpl w:val="EB522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A613E"/>
    <w:multiLevelType w:val="hybridMultilevel"/>
    <w:tmpl w:val="E822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AB0BF1"/>
    <w:multiLevelType w:val="hybridMultilevel"/>
    <w:tmpl w:val="BA3C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4CB6AD4"/>
    <w:multiLevelType w:val="hybridMultilevel"/>
    <w:tmpl w:val="049AB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8"/>
  </w:num>
  <w:num w:numId="3" w16cid:durableId="1793207479">
    <w:abstractNumId w:val="4"/>
  </w:num>
  <w:num w:numId="4" w16cid:durableId="1945528081">
    <w:abstractNumId w:val="3"/>
  </w:num>
  <w:num w:numId="5" w16cid:durableId="1680038631">
    <w:abstractNumId w:val="10"/>
  </w:num>
  <w:num w:numId="6" w16cid:durableId="1152798309">
    <w:abstractNumId w:val="5"/>
  </w:num>
  <w:num w:numId="7" w16cid:durableId="190655714">
    <w:abstractNumId w:val="0"/>
  </w:num>
  <w:num w:numId="8" w16cid:durableId="1758330887">
    <w:abstractNumId w:val="6"/>
  </w:num>
  <w:num w:numId="9" w16cid:durableId="1123614978">
    <w:abstractNumId w:val="7"/>
  </w:num>
  <w:num w:numId="10" w16cid:durableId="1548251410">
    <w:abstractNumId w:val="2"/>
  </w:num>
  <w:num w:numId="11" w16cid:durableId="21473093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114D7"/>
    <w:rsid w:val="0001521C"/>
    <w:rsid w:val="00020AD2"/>
    <w:rsid w:val="0003073E"/>
    <w:rsid w:val="00033E90"/>
    <w:rsid w:val="000347CB"/>
    <w:rsid w:val="00053814"/>
    <w:rsid w:val="000558C3"/>
    <w:rsid w:val="00057333"/>
    <w:rsid w:val="000614B5"/>
    <w:rsid w:val="00064960"/>
    <w:rsid w:val="000649DE"/>
    <w:rsid w:val="00066545"/>
    <w:rsid w:val="00074F5A"/>
    <w:rsid w:val="000803DD"/>
    <w:rsid w:val="000A5361"/>
    <w:rsid w:val="000A6E86"/>
    <w:rsid w:val="000B0963"/>
    <w:rsid w:val="000B3647"/>
    <w:rsid w:val="000B5E44"/>
    <w:rsid w:val="000C6D99"/>
    <w:rsid w:val="000D06F4"/>
    <w:rsid w:val="000D2786"/>
    <w:rsid w:val="000D394E"/>
    <w:rsid w:val="000E1B8E"/>
    <w:rsid w:val="000E5C50"/>
    <w:rsid w:val="000E7AA0"/>
    <w:rsid w:val="0010023E"/>
    <w:rsid w:val="001008A3"/>
    <w:rsid w:val="001012D6"/>
    <w:rsid w:val="00103F6D"/>
    <w:rsid w:val="00104A60"/>
    <w:rsid w:val="00112D1C"/>
    <w:rsid w:val="0012410A"/>
    <w:rsid w:val="00133A62"/>
    <w:rsid w:val="00133E79"/>
    <w:rsid w:val="001353E2"/>
    <w:rsid w:val="0013737E"/>
    <w:rsid w:val="0014050C"/>
    <w:rsid w:val="00141C75"/>
    <w:rsid w:val="0014694F"/>
    <w:rsid w:val="00150508"/>
    <w:rsid w:val="001533E9"/>
    <w:rsid w:val="001669D2"/>
    <w:rsid w:val="001805EF"/>
    <w:rsid w:val="001A2C9E"/>
    <w:rsid w:val="001A3A7D"/>
    <w:rsid w:val="001C624C"/>
    <w:rsid w:val="001D2E9E"/>
    <w:rsid w:val="001D739F"/>
    <w:rsid w:val="001E20ED"/>
    <w:rsid w:val="001E4D8B"/>
    <w:rsid w:val="001F1EBB"/>
    <w:rsid w:val="001F400D"/>
    <w:rsid w:val="00203805"/>
    <w:rsid w:val="00216344"/>
    <w:rsid w:val="0022003F"/>
    <w:rsid w:val="0022087C"/>
    <w:rsid w:val="00254912"/>
    <w:rsid w:val="00266912"/>
    <w:rsid w:val="00280DCB"/>
    <w:rsid w:val="00280F2D"/>
    <w:rsid w:val="00290CB4"/>
    <w:rsid w:val="0029442C"/>
    <w:rsid w:val="002A60CE"/>
    <w:rsid w:val="002C04BA"/>
    <w:rsid w:val="002C3C64"/>
    <w:rsid w:val="002C424C"/>
    <w:rsid w:val="002E449E"/>
    <w:rsid w:val="002F0782"/>
    <w:rsid w:val="002F1A46"/>
    <w:rsid w:val="00302FED"/>
    <w:rsid w:val="00315681"/>
    <w:rsid w:val="00315CB3"/>
    <w:rsid w:val="00335719"/>
    <w:rsid w:val="003362A9"/>
    <w:rsid w:val="00336CA3"/>
    <w:rsid w:val="003531CC"/>
    <w:rsid w:val="00360337"/>
    <w:rsid w:val="00391416"/>
    <w:rsid w:val="003929ED"/>
    <w:rsid w:val="003938AB"/>
    <w:rsid w:val="003A1177"/>
    <w:rsid w:val="003B2891"/>
    <w:rsid w:val="003B7C57"/>
    <w:rsid w:val="003C749C"/>
    <w:rsid w:val="003E1431"/>
    <w:rsid w:val="003E5D32"/>
    <w:rsid w:val="003F78BF"/>
    <w:rsid w:val="00400BCC"/>
    <w:rsid w:val="0042603B"/>
    <w:rsid w:val="00432C9A"/>
    <w:rsid w:val="00434B70"/>
    <w:rsid w:val="00435B2B"/>
    <w:rsid w:val="00437ACB"/>
    <w:rsid w:val="00450FA1"/>
    <w:rsid w:val="00464451"/>
    <w:rsid w:val="00480067"/>
    <w:rsid w:val="004867F4"/>
    <w:rsid w:val="00491328"/>
    <w:rsid w:val="004A22B5"/>
    <w:rsid w:val="004B05EF"/>
    <w:rsid w:val="004B32F1"/>
    <w:rsid w:val="004B6EC3"/>
    <w:rsid w:val="004C0BA2"/>
    <w:rsid w:val="004C489B"/>
    <w:rsid w:val="004D0DD7"/>
    <w:rsid w:val="00515B28"/>
    <w:rsid w:val="00522B8A"/>
    <w:rsid w:val="00535BCA"/>
    <w:rsid w:val="00540D86"/>
    <w:rsid w:val="00550AA0"/>
    <w:rsid w:val="00552491"/>
    <w:rsid w:val="00553193"/>
    <w:rsid w:val="0055346B"/>
    <w:rsid w:val="005662C0"/>
    <w:rsid w:val="00570902"/>
    <w:rsid w:val="00573F45"/>
    <w:rsid w:val="00574252"/>
    <w:rsid w:val="00576179"/>
    <w:rsid w:val="00583F6A"/>
    <w:rsid w:val="00585A58"/>
    <w:rsid w:val="0059502A"/>
    <w:rsid w:val="005A6255"/>
    <w:rsid w:val="005D4004"/>
    <w:rsid w:val="005E721E"/>
    <w:rsid w:val="005F0E99"/>
    <w:rsid w:val="005F423E"/>
    <w:rsid w:val="005F5459"/>
    <w:rsid w:val="005F58BD"/>
    <w:rsid w:val="005F6E19"/>
    <w:rsid w:val="0061137F"/>
    <w:rsid w:val="00620E4C"/>
    <w:rsid w:val="006235DB"/>
    <w:rsid w:val="0062507F"/>
    <w:rsid w:val="0064130B"/>
    <w:rsid w:val="00642487"/>
    <w:rsid w:val="0065206C"/>
    <w:rsid w:val="00661C1A"/>
    <w:rsid w:val="00671BBE"/>
    <w:rsid w:val="0067633B"/>
    <w:rsid w:val="006801F7"/>
    <w:rsid w:val="00682099"/>
    <w:rsid w:val="00687B54"/>
    <w:rsid w:val="0069409C"/>
    <w:rsid w:val="006B54D9"/>
    <w:rsid w:val="006C00C2"/>
    <w:rsid w:val="006C04F8"/>
    <w:rsid w:val="006C1983"/>
    <w:rsid w:val="006C25F6"/>
    <w:rsid w:val="006C5910"/>
    <w:rsid w:val="006D2170"/>
    <w:rsid w:val="006E27F8"/>
    <w:rsid w:val="006E4FB4"/>
    <w:rsid w:val="007012ED"/>
    <w:rsid w:val="007102AF"/>
    <w:rsid w:val="00711B49"/>
    <w:rsid w:val="007121C4"/>
    <w:rsid w:val="007142DE"/>
    <w:rsid w:val="00726963"/>
    <w:rsid w:val="00743928"/>
    <w:rsid w:val="00745739"/>
    <w:rsid w:val="0076503A"/>
    <w:rsid w:val="0077346E"/>
    <w:rsid w:val="00782DCA"/>
    <w:rsid w:val="0078443A"/>
    <w:rsid w:val="007867F0"/>
    <w:rsid w:val="00796B8E"/>
    <w:rsid w:val="007A3D57"/>
    <w:rsid w:val="007C132B"/>
    <w:rsid w:val="007D1DDC"/>
    <w:rsid w:val="007D7C43"/>
    <w:rsid w:val="007E0B9C"/>
    <w:rsid w:val="007F4B73"/>
    <w:rsid w:val="00805C38"/>
    <w:rsid w:val="008302B7"/>
    <w:rsid w:val="00835D18"/>
    <w:rsid w:val="008434BE"/>
    <w:rsid w:val="00851B2E"/>
    <w:rsid w:val="00854D72"/>
    <w:rsid w:val="008779BF"/>
    <w:rsid w:val="00893179"/>
    <w:rsid w:val="0089575D"/>
    <w:rsid w:val="008A662F"/>
    <w:rsid w:val="008A739B"/>
    <w:rsid w:val="008B1457"/>
    <w:rsid w:val="008B7D8C"/>
    <w:rsid w:val="008C2C3D"/>
    <w:rsid w:val="008E5D75"/>
    <w:rsid w:val="008E62F2"/>
    <w:rsid w:val="008E6E06"/>
    <w:rsid w:val="008F132B"/>
    <w:rsid w:val="00914393"/>
    <w:rsid w:val="0092001C"/>
    <w:rsid w:val="009254F2"/>
    <w:rsid w:val="00927A13"/>
    <w:rsid w:val="00933764"/>
    <w:rsid w:val="00934B27"/>
    <w:rsid w:val="009431B3"/>
    <w:rsid w:val="009505AC"/>
    <w:rsid w:val="00950B1D"/>
    <w:rsid w:val="00952B56"/>
    <w:rsid w:val="00954CB6"/>
    <w:rsid w:val="00955038"/>
    <w:rsid w:val="00973098"/>
    <w:rsid w:val="00986875"/>
    <w:rsid w:val="00996B01"/>
    <w:rsid w:val="00997C41"/>
    <w:rsid w:val="009A4A49"/>
    <w:rsid w:val="009A4DBC"/>
    <w:rsid w:val="009A5C0E"/>
    <w:rsid w:val="009A6E29"/>
    <w:rsid w:val="009B4DA8"/>
    <w:rsid w:val="009D1A31"/>
    <w:rsid w:val="009D75D6"/>
    <w:rsid w:val="009E3E6E"/>
    <w:rsid w:val="009E5700"/>
    <w:rsid w:val="009F4B87"/>
    <w:rsid w:val="00A035A6"/>
    <w:rsid w:val="00A066E7"/>
    <w:rsid w:val="00A1006A"/>
    <w:rsid w:val="00A20650"/>
    <w:rsid w:val="00A32BCD"/>
    <w:rsid w:val="00A360B8"/>
    <w:rsid w:val="00A3792B"/>
    <w:rsid w:val="00A45A57"/>
    <w:rsid w:val="00A60942"/>
    <w:rsid w:val="00A61250"/>
    <w:rsid w:val="00A73BBF"/>
    <w:rsid w:val="00A75746"/>
    <w:rsid w:val="00A8529B"/>
    <w:rsid w:val="00A85D11"/>
    <w:rsid w:val="00AA49DE"/>
    <w:rsid w:val="00AB52D8"/>
    <w:rsid w:val="00AD022F"/>
    <w:rsid w:val="00AD1230"/>
    <w:rsid w:val="00AD313B"/>
    <w:rsid w:val="00AE2545"/>
    <w:rsid w:val="00AF6271"/>
    <w:rsid w:val="00B142AC"/>
    <w:rsid w:val="00B20BDB"/>
    <w:rsid w:val="00B26B35"/>
    <w:rsid w:val="00B3086E"/>
    <w:rsid w:val="00B40A64"/>
    <w:rsid w:val="00B40E9F"/>
    <w:rsid w:val="00B62B5F"/>
    <w:rsid w:val="00B64D39"/>
    <w:rsid w:val="00B8135B"/>
    <w:rsid w:val="00B9663D"/>
    <w:rsid w:val="00BC4B1F"/>
    <w:rsid w:val="00BC4F6E"/>
    <w:rsid w:val="00BD1C43"/>
    <w:rsid w:val="00BD3668"/>
    <w:rsid w:val="00BD381A"/>
    <w:rsid w:val="00BD6C33"/>
    <w:rsid w:val="00BE516A"/>
    <w:rsid w:val="00BE764E"/>
    <w:rsid w:val="00BF7CA5"/>
    <w:rsid w:val="00C20C53"/>
    <w:rsid w:val="00C3056E"/>
    <w:rsid w:val="00C317EB"/>
    <w:rsid w:val="00C441AA"/>
    <w:rsid w:val="00C52EF8"/>
    <w:rsid w:val="00C60E92"/>
    <w:rsid w:val="00C623F2"/>
    <w:rsid w:val="00C7018C"/>
    <w:rsid w:val="00C718B8"/>
    <w:rsid w:val="00C7611C"/>
    <w:rsid w:val="00C7699D"/>
    <w:rsid w:val="00C818ED"/>
    <w:rsid w:val="00C90544"/>
    <w:rsid w:val="00C908DC"/>
    <w:rsid w:val="00C96812"/>
    <w:rsid w:val="00CA59B4"/>
    <w:rsid w:val="00CA782D"/>
    <w:rsid w:val="00CC08C0"/>
    <w:rsid w:val="00CD1F98"/>
    <w:rsid w:val="00CD63E9"/>
    <w:rsid w:val="00CD7B3D"/>
    <w:rsid w:val="00CE2405"/>
    <w:rsid w:val="00CE2EF6"/>
    <w:rsid w:val="00CE5716"/>
    <w:rsid w:val="00CE6522"/>
    <w:rsid w:val="00CF0BBC"/>
    <w:rsid w:val="00D07421"/>
    <w:rsid w:val="00D15C9A"/>
    <w:rsid w:val="00D160EE"/>
    <w:rsid w:val="00D17BF5"/>
    <w:rsid w:val="00D26A7D"/>
    <w:rsid w:val="00D3070C"/>
    <w:rsid w:val="00D3262D"/>
    <w:rsid w:val="00D33169"/>
    <w:rsid w:val="00D346F1"/>
    <w:rsid w:val="00D4345E"/>
    <w:rsid w:val="00D44D35"/>
    <w:rsid w:val="00D44DF5"/>
    <w:rsid w:val="00D5172C"/>
    <w:rsid w:val="00D51940"/>
    <w:rsid w:val="00D6125C"/>
    <w:rsid w:val="00D733F5"/>
    <w:rsid w:val="00D9143D"/>
    <w:rsid w:val="00D92CDD"/>
    <w:rsid w:val="00D93894"/>
    <w:rsid w:val="00D9721F"/>
    <w:rsid w:val="00DA11DE"/>
    <w:rsid w:val="00DB6D93"/>
    <w:rsid w:val="00DB6D9A"/>
    <w:rsid w:val="00DC15BE"/>
    <w:rsid w:val="00DC1754"/>
    <w:rsid w:val="00DC5E01"/>
    <w:rsid w:val="00DE33A9"/>
    <w:rsid w:val="00DE5889"/>
    <w:rsid w:val="00E029B4"/>
    <w:rsid w:val="00E0786E"/>
    <w:rsid w:val="00E2277C"/>
    <w:rsid w:val="00E22F19"/>
    <w:rsid w:val="00E347F1"/>
    <w:rsid w:val="00E41621"/>
    <w:rsid w:val="00E520B6"/>
    <w:rsid w:val="00E5682F"/>
    <w:rsid w:val="00E71DB8"/>
    <w:rsid w:val="00E72CC8"/>
    <w:rsid w:val="00E870EC"/>
    <w:rsid w:val="00EA4B05"/>
    <w:rsid w:val="00EA59D8"/>
    <w:rsid w:val="00EB529E"/>
    <w:rsid w:val="00EB5A58"/>
    <w:rsid w:val="00EC219B"/>
    <w:rsid w:val="00EC628D"/>
    <w:rsid w:val="00ED0BC7"/>
    <w:rsid w:val="00ED1DB7"/>
    <w:rsid w:val="00ED24C5"/>
    <w:rsid w:val="00EE195D"/>
    <w:rsid w:val="00F07CDA"/>
    <w:rsid w:val="00F217F1"/>
    <w:rsid w:val="00F275EA"/>
    <w:rsid w:val="00F4396E"/>
    <w:rsid w:val="00F44D8D"/>
    <w:rsid w:val="00F46721"/>
    <w:rsid w:val="00F517E5"/>
    <w:rsid w:val="00F5382A"/>
    <w:rsid w:val="00F608A1"/>
    <w:rsid w:val="00F709FA"/>
    <w:rsid w:val="00FA574A"/>
    <w:rsid w:val="00FA63A8"/>
    <w:rsid w:val="00FC2A9A"/>
    <w:rsid w:val="00FD3551"/>
    <w:rsid w:val="00FD36A8"/>
    <w:rsid w:val="00FD5563"/>
    <w:rsid w:val="00FE1F72"/>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D92CDD"/>
    <w:pPr>
      <w:keepNext/>
      <w:keepLines/>
      <w:spacing w:before="160" w:after="80"/>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D92CDD"/>
    <w:rPr>
      <w:rFonts w:ascii="Calibri Light" w:eastAsiaTheme="majorEastAsia" w:hAnsi="Calibri Light" w:cstheme="majorBidi"/>
      <w:b/>
      <w:sz w:val="26"/>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F0B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529152146">
      <w:bodyDiv w:val="1"/>
      <w:marLeft w:val="0"/>
      <w:marRight w:val="0"/>
      <w:marTop w:val="0"/>
      <w:marBottom w:val="0"/>
      <w:divBdr>
        <w:top w:val="none" w:sz="0" w:space="0" w:color="auto"/>
        <w:left w:val="none" w:sz="0" w:space="0" w:color="auto"/>
        <w:bottom w:val="none" w:sz="0" w:space="0" w:color="auto"/>
        <w:right w:val="none" w:sz="0" w:space="0" w:color="auto"/>
      </w:divBdr>
    </w:div>
    <w:div w:id="634797079">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863517468">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70860">
      <w:bodyDiv w:val="1"/>
      <w:marLeft w:val="0"/>
      <w:marRight w:val="0"/>
      <w:marTop w:val="0"/>
      <w:marBottom w:val="0"/>
      <w:divBdr>
        <w:top w:val="none" w:sz="0" w:space="0" w:color="auto"/>
        <w:left w:val="none" w:sz="0" w:space="0" w:color="auto"/>
        <w:bottom w:val="none" w:sz="0" w:space="0" w:color="auto"/>
        <w:right w:val="none" w:sz="0" w:space="0" w:color="auto"/>
      </w:divBdr>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066297321">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hyperlink" Target="https://www.intellectsoft.net/blog/what-is-solutions-architec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hyperlink" Target="https://www.techtarget.com/whatis/definition/fishbone-diagram"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boardmix.com/examples/value-chain-analysi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6890</TotalTime>
  <Pages>19</Pages>
  <Words>3686</Words>
  <Characters>21012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184</cp:revision>
  <dcterms:created xsi:type="dcterms:W3CDTF">2024-02-17T11:40:00Z</dcterms:created>
  <dcterms:modified xsi:type="dcterms:W3CDTF">2024-06-16T13:46:00Z</dcterms:modified>
</cp:coreProperties>
</file>