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4FB8430C" w:rsidR="00AA49DE" w:rsidRDefault="00AA49DE" w:rsidP="00AB725E">
            <w:pPr>
              <w:ind w:left="5"/>
            </w:pPr>
            <w:r>
              <w:rPr>
                <w:sz w:val="20"/>
              </w:rPr>
              <w:t xml:space="preserve"> </w:t>
            </w:r>
            <w:r w:rsidR="0076503A">
              <w:rPr>
                <w:sz w:val="20"/>
              </w:rPr>
              <w:t>Analysis of Propel Tech’s Service Delivery Process</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67F2ED51" w:rsidR="00AA49DE" w:rsidRDefault="00AA49DE" w:rsidP="00AB725E">
            <w:pPr>
              <w:ind w:left="5"/>
            </w:pPr>
            <w:r>
              <w:rPr>
                <w:sz w:val="20"/>
              </w:rPr>
              <w:t xml:space="preserve"> </w:t>
            </w:r>
            <w:r w:rsidR="00A45A57">
              <w:rPr>
                <w:sz w:val="20"/>
              </w:rPr>
              <w:t xml:space="preserve">2000~ </w:t>
            </w:r>
            <w:r>
              <w:rPr>
                <w:sz w:val="20"/>
              </w:rPr>
              <w:t>/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56AD6237" w:rsidR="00AA49DE" w:rsidRDefault="00AA49DE" w:rsidP="00AB725E">
            <w:pPr>
              <w:ind w:left="5"/>
            </w:pPr>
            <w:r>
              <w:rPr>
                <w:sz w:val="20"/>
              </w:rPr>
              <w:t xml:space="preserve"> </w:t>
            </w:r>
            <w:r w:rsidR="00A45A57">
              <w:rPr>
                <w:sz w:val="20"/>
              </w:rPr>
              <w:t>16/06/2024</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7412AC7B" w:rsidR="0003073E" w:rsidRDefault="000C6D99" w:rsidP="004D0DD7">
      <w:r>
        <w:t xml:space="preserve">This process was selected as it has the largest impact on </w:t>
      </w:r>
      <w:r w:rsidR="0014050C">
        <w:t xml:space="preserve">profitability and client retention within the organization. </w:t>
      </w: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18C28C3B"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1</w:t>
      </w:r>
      <w:r>
        <w:fldChar w:fldCharType="end"/>
      </w:r>
      <w:r>
        <w:t xml:space="preserve"> Porter's Value Chain Analysis of Propel Tech</w:t>
      </w:r>
    </w:p>
    <w:p w14:paraId="4A9CBE2C" w14:textId="0EF4BA32" w:rsidR="000A6E86" w:rsidRDefault="000A6E86" w:rsidP="000A6E86">
      <w:r>
        <w:t xml:space="preserve">Porter </w:t>
      </w:r>
      <w:r w:rsidRPr="0003073E">
        <w:t xml:space="preserve">(1985, </w:t>
      </w:r>
      <w:r w:rsidR="00F43D3D">
        <w:t>p.</w:t>
      </w:r>
      <w:r w:rsidRPr="0003073E">
        <w:t>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7A0F730D" w:rsidR="0003073E" w:rsidRDefault="00EB529E" w:rsidP="00EB529E">
      <w:pPr>
        <w:pStyle w:val="Caption"/>
        <w:jc w:val="center"/>
      </w:pPr>
      <w:r>
        <w:t xml:space="preserve">Figure </w:t>
      </w:r>
      <w:r>
        <w:fldChar w:fldCharType="begin"/>
      </w:r>
      <w:r>
        <w:instrText xml:space="preserve"> SEQ Figure \* ARABIC </w:instrText>
      </w:r>
      <w:r>
        <w:fldChar w:fldCharType="separate"/>
      </w:r>
      <w:r w:rsidR="008D755E">
        <w:rPr>
          <w:noProof/>
        </w:rPr>
        <w:t>2</w:t>
      </w:r>
      <w:r>
        <w:fldChar w:fldCharType="end"/>
      </w:r>
      <w:r>
        <w:t xml:space="preserve"> Propel Tech’s Primary Activity Map</w:t>
      </w:r>
    </w:p>
    <w:p w14:paraId="08AF905D" w14:textId="4BD21BAC" w:rsidR="00EB529E" w:rsidRDefault="00EB529E" w:rsidP="00EB529E">
      <w:r>
        <w:t xml:space="preserve">Figure 2 displays the relationships between each primary activity, displaying ahigh-level process map, which Harmon (2019, </w:t>
      </w:r>
      <w:r w:rsidR="00F43D3D">
        <w:t>p.8</w:t>
      </w:r>
      <w:r>
        <w:t>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5AA7842B" w:rsidR="00BD381A" w:rsidRDefault="003A1177" w:rsidP="003A1177">
      <w:pPr>
        <w:pStyle w:val="Caption"/>
        <w:jc w:val="center"/>
      </w:pPr>
      <w:r>
        <w:t xml:space="preserve">Figure </w:t>
      </w:r>
      <w:r>
        <w:fldChar w:fldCharType="begin"/>
      </w:r>
      <w:r>
        <w:instrText xml:space="preserve"> SEQ Figure \* ARABIC </w:instrText>
      </w:r>
      <w:r>
        <w:fldChar w:fldCharType="separate"/>
      </w:r>
      <w:r w:rsidR="008D755E">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0B73275C" w:rsidR="00FF0604" w:rsidRDefault="008B1457" w:rsidP="008B1457">
      <w:pPr>
        <w:pStyle w:val="Caption"/>
        <w:jc w:val="center"/>
      </w:pPr>
      <w:r>
        <w:t xml:space="preserve">Figure </w:t>
      </w:r>
      <w:r>
        <w:fldChar w:fldCharType="begin"/>
      </w:r>
      <w:r>
        <w:instrText xml:space="preserve"> SEQ Figure \* ARABIC </w:instrText>
      </w:r>
      <w:r>
        <w:fldChar w:fldCharType="separate"/>
      </w:r>
      <w:r w:rsidR="008D755E">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6B768859" w:rsidR="00B40E9F" w:rsidRDefault="00973098" w:rsidP="00FF0604">
      <w:r>
        <w:t xml:space="preserve">Harmon (2019, </w:t>
      </w:r>
      <w:r w:rsidR="00F43D3D">
        <w:t>p.</w:t>
      </w:r>
      <w:r>
        <w:t xml:space="preserve">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43AC3661">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564D87A"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103CF34C" w:rsidR="00986875" w:rsidRDefault="00216344" w:rsidP="00BD381A">
      <w:proofErr w:type="spellStart"/>
      <w:r>
        <w:t>Šaulinskas</w:t>
      </w:r>
      <w:proofErr w:type="spellEnd"/>
      <w:r w:rsidR="00F4396E">
        <w:t>-</w:t>
      </w:r>
      <w:r>
        <w:t>et</w:t>
      </w:r>
      <w:r w:rsidR="00F4396E">
        <w:t>-</w:t>
      </w:r>
      <w:r>
        <w:t xml:space="preserve">al (2013, </w:t>
      </w:r>
      <w:r w:rsidR="00F43D3D">
        <w:t>p.</w:t>
      </w:r>
      <w:r>
        <w:t>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712C5EB1" w:rsidR="002A60CE" w:rsidRDefault="002A60CE" w:rsidP="002A60CE">
      <w:pPr>
        <w:pStyle w:val="Caption"/>
        <w:jc w:val="center"/>
      </w:pPr>
      <w:r>
        <w:t xml:space="preserve">Figure </w:t>
      </w:r>
      <w:r>
        <w:fldChar w:fldCharType="begin"/>
      </w:r>
      <w:r>
        <w:instrText xml:space="preserve"> SEQ Figure \* ARABIC </w:instrText>
      </w:r>
      <w:r>
        <w:fldChar w:fldCharType="separate"/>
      </w:r>
      <w:r w:rsidR="008D755E">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4B923947">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1273895" w:rsidR="00661C1A" w:rsidRDefault="00D17BF5" w:rsidP="00D17BF5">
      <w:pPr>
        <w:pStyle w:val="Caption"/>
        <w:jc w:val="center"/>
      </w:pPr>
      <w:r>
        <w:t xml:space="preserve">Figure </w:t>
      </w:r>
      <w:r>
        <w:fldChar w:fldCharType="begin"/>
      </w:r>
      <w:r>
        <w:instrText xml:space="preserve"> SEQ Figure \* ARABIC </w:instrText>
      </w:r>
      <w:r>
        <w:fldChar w:fldCharType="separate"/>
      </w:r>
      <w:r w:rsidR="008D755E">
        <w:rPr>
          <w:noProof/>
        </w:rPr>
        <w:t>7</w:t>
      </w:r>
      <w:r>
        <w:fldChar w:fldCharType="end"/>
      </w:r>
      <w:r>
        <w:t xml:space="preserve"> - Fishbone Diagram of potential causes for delivery over budget.</w:t>
      </w:r>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2347C460"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7764CFAB" w:rsidR="00F709FA" w:rsidRDefault="00F709FA" w:rsidP="00F709FA">
      <w:pPr>
        <w:pStyle w:val="Caption"/>
        <w:jc w:val="center"/>
      </w:pPr>
      <w:r>
        <w:t xml:space="preserve">Figure </w:t>
      </w:r>
      <w:r>
        <w:fldChar w:fldCharType="begin"/>
      </w:r>
      <w:r>
        <w:instrText xml:space="preserve"> SEQ Figure \* ARABIC </w:instrText>
      </w:r>
      <w:r>
        <w:fldChar w:fldCharType="separate"/>
      </w:r>
      <w:r w:rsidR="008D755E">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1F3C813B" w:rsidR="00682099" w:rsidRDefault="00682099" w:rsidP="00682099">
      <w:pPr>
        <w:pStyle w:val="Caption"/>
        <w:jc w:val="center"/>
      </w:pPr>
      <w:r>
        <w:t xml:space="preserve">Figure </w:t>
      </w:r>
      <w:r>
        <w:fldChar w:fldCharType="begin"/>
      </w:r>
      <w:r>
        <w:instrText xml:space="preserve"> SEQ Figure \* ARABIC </w:instrText>
      </w:r>
      <w:r>
        <w:fldChar w:fldCharType="separate"/>
      </w:r>
      <w:r w:rsidR="008D755E">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21A53071"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 xml:space="preserve">details internal and external points, categorised by Harmon’s (2019, </w:t>
      </w:r>
      <w:r w:rsidR="00F43D3D">
        <w:t>p.</w:t>
      </w:r>
      <w:r>
        <w:t>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23D2E033" w:rsidR="00C3056E" w:rsidRDefault="00C3056E" w:rsidP="00C3056E">
      <w:pPr>
        <w:pStyle w:val="Caption"/>
        <w:jc w:val="center"/>
      </w:pPr>
      <w:r>
        <w:t xml:space="preserve">Figure </w:t>
      </w:r>
      <w:r>
        <w:fldChar w:fldCharType="begin"/>
      </w:r>
      <w:r>
        <w:instrText xml:space="preserve"> SEQ Figure \* ARABIC </w:instrText>
      </w:r>
      <w:r>
        <w:fldChar w:fldCharType="separate"/>
      </w:r>
      <w:r w:rsidR="008D755E">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230EB10"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8D755E">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627D0E62" w:rsidR="009505AC" w:rsidRDefault="009505AC" w:rsidP="009505AC">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13</w:t>
      </w:r>
      <w:r>
        <w:fldChar w:fldCharType="end"/>
      </w:r>
      <w:r>
        <w:t xml:space="preserve"> - Architect vs Training costs</w:t>
      </w:r>
    </w:p>
    <w:p w14:paraId="46FB5894" w14:textId="77777777" w:rsidR="009505AC" w:rsidRDefault="009505AC" w:rsidP="00B62B5F"/>
    <w:p w14:paraId="765E3B90" w14:textId="5A286C20" w:rsidR="001A3A7D"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3DC8458F" w14:textId="77777777" w:rsidR="009431B3" w:rsidRDefault="009431B3" w:rsidP="00B62B5F"/>
    <w:p w14:paraId="314F714E" w14:textId="77777777" w:rsidR="009431B3" w:rsidRDefault="009431B3" w:rsidP="009431B3">
      <w:pPr>
        <w:keepNext/>
        <w:jc w:val="center"/>
      </w:pPr>
      <w:r w:rsidRPr="009431B3">
        <w:rPr>
          <w:noProof/>
        </w:rPr>
        <w:lastRenderedPageBreak/>
        <w:drawing>
          <wp:inline distT="0" distB="0" distL="0" distR="0" wp14:anchorId="6F8BDEF5" wp14:editId="10493D43">
            <wp:extent cx="6341110" cy="3764920"/>
            <wp:effectExtent l="0" t="0" r="2540" b="6985"/>
            <wp:docPr id="419910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0036" name="Picture 1" descr="A diagram of a diagram&#10;&#10;Description automatically generated"/>
                    <pic:cNvPicPr/>
                  </pic:nvPicPr>
                  <pic:blipFill>
                    <a:blip r:embed="rId28"/>
                    <a:stretch>
                      <a:fillRect/>
                    </a:stretch>
                  </pic:blipFill>
                  <pic:spPr>
                    <a:xfrm>
                      <a:off x="0" y="0"/>
                      <a:ext cx="6342570" cy="3765787"/>
                    </a:xfrm>
                    <a:prstGeom prst="rect">
                      <a:avLst/>
                    </a:prstGeom>
                  </pic:spPr>
                </pic:pic>
              </a:graphicData>
            </a:graphic>
          </wp:inline>
        </w:drawing>
      </w:r>
    </w:p>
    <w:p w14:paraId="712BE7F6" w14:textId="1C98E2C3" w:rsidR="00CF0BBC" w:rsidRDefault="009431B3" w:rsidP="009431B3">
      <w:pPr>
        <w:pStyle w:val="Caption"/>
        <w:jc w:val="center"/>
      </w:pPr>
      <w:r>
        <w:t xml:space="preserve">Figure </w:t>
      </w:r>
      <w:r>
        <w:fldChar w:fldCharType="begin"/>
      </w:r>
      <w:r>
        <w:instrText xml:space="preserve"> SEQ Figure \* ARABIC </w:instrText>
      </w:r>
      <w:r>
        <w:fldChar w:fldCharType="separate"/>
      </w:r>
      <w:r w:rsidR="008D755E">
        <w:rPr>
          <w:noProof/>
        </w:rPr>
        <w:t>14</w:t>
      </w:r>
      <w:r>
        <w:fldChar w:fldCharType="end"/>
      </w:r>
      <w:r>
        <w:t xml:space="preserve"> - Human Performance Analysis</w:t>
      </w:r>
    </w:p>
    <w:p w14:paraId="6A7CD375" w14:textId="77777777" w:rsidR="009431B3" w:rsidRDefault="009431B3" w:rsidP="009431B3">
      <w:r>
        <w:t>Harmon (2019, pg. 166) advocates for analysing human performance, as both options involve human factors, Figure 14 adapts Rummler’s (1990) “Human Performance Analysis” to show considerations for quality of estimation.</w:t>
      </w:r>
    </w:p>
    <w:p w14:paraId="4F673DB6" w14:textId="1C609F12" w:rsidR="00CF0BBC" w:rsidRDefault="009431B3" w:rsidP="00B62B5F">
      <w:r>
        <w:t>The “Software Estimation Activity” encapsulates all sub-processes displayed in Figure 6, until the “Project Kick-Off” procedure. This activity is the primary location process change for Propel Tech is proposed. This flowchart is adapted in Figure 15 to illustrate the proposal changes under this activity.</w:t>
      </w:r>
    </w:p>
    <w:p w14:paraId="68AA9DDB" w14:textId="33FBDC34" w:rsidR="00927A13" w:rsidRDefault="00927A13" w:rsidP="00B62B5F">
      <w:r>
        <w:t>The analysis shown in Figure 14 reveals that implementation of training programmes could introduce friction, as each of the factors shown in the human performance analysis would have to be considered for each engineer, this could expose Propel to further challenges including managing human performance across all departments, requiring a greater effort and potentially recruitment of human resources staff.</w:t>
      </w:r>
    </w:p>
    <w:p w14:paraId="3CFE1D3E" w14:textId="72CB326F" w:rsidR="00726963" w:rsidRDefault="000114D7" w:rsidP="00927A13">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in Figure 10</w:t>
      </w:r>
      <w:r w:rsidR="00BE18AA">
        <w:t xml:space="preserve"> and measures in Figure 11</w:t>
      </w:r>
      <w:r>
        <w:t xml:space="preserve">. This approach ensures accurate estimates, satisfies client interests, </w:t>
      </w:r>
      <w:r w:rsidR="006C1983">
        <w:t xml:space="preserve">and </w:t>
      </w:r>
      <w:r>
        <w:t>increases engineer billable potential.</w:t>
      </w:r>
    </w:p>
    <w:p w14:paraId="76705F39" w14:textId="39D0553B" w:rsidR="00927A13" w:rsidRDefault="00927A13" w:rsidP="00927A13">
      <w:r>
        <w:t xml:space="preserve">All analysis conclusively </w:t>
      </w:r>
      <w:r w:rsidR="000D394E">
        <w:t>suggests</w:t>
      </w:r>
      <w:r>
        <w:t xml:space="preserve"> that recruiting a Solution Architect has the best outcomes for Propel Tech’s service delivery process.</w:t>
      </w: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09E02AB5" w14:textId="6CFFD26A" w:rsidR="001A3A7D" w:rsidRPr="001533E9" w:rsidRDefault="00726963" w:rsidP="008D755E">
      <w:pPr>
        <w:pStyle w:val="Heading2"/>
      </w:pPr>
      <w:r>
        <w:t>Modelling process change</w:t>
      </w:r>
    </w:p>
    <w:p w14:paraId="408161C5" w14:textId="0B522326" w:rsidR="008D755E" w:rsidRDefault="008D755E" w:rsidP="008D755E">
      <w:pPr>
        <w:pStyle w:val="NormalWeb"/>
        <w:keepNext/>
        <w:jc w:val="center"/>
      </w:pPr>
      <w:r w:rsidRPr="008D755E">
        <w:rPr>
          <w:noProof/>
        </w:rPr>
        <w:drawing>
          <wp:inline distT="0" distB="0" distL="0" distR="0" wp14:anchorId="6AE256CE" wp14:editId="01960C68">
            <wp:extent cx="10153704" cy="4461510"/>
            <wp:effectExtent l="0" t="0" r="0" b="0"/>
            <wp:docPr id="1233589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9318" name="Picture 1" descr="A diagram of a flowchart&#10;&#10;Description automatically generated"/>
                    <pic:cNvPicPr/>
                  </pic:nvPicPr>
                  <pic:blipFill>
                    <a:blip r:embed="rId29"/>
                    <a:stretch>
                      <a:fillRect/>
                    </a:stretch>
                  </pic:blipFill>
                  <pic:spPr>
                    <a:xfrm>
                      <a:off x="0" y="0"/>
                      <a:ext cx="10189390" cy="4477190"/>
                    </a:xfrm>
                    <a:prstGeom prst="rect">
                      <a:avLst/>
                    </a:prstGeom>
                  </pic:spPr>
                </pic:pic>
              </a:graphicData>
            </a:graphic>
          </wp:inline>
        </w:drawing>
      </w:r>
    </w:p>
    <w:p w14:paraId="3180CE02" w14:textId="6B183B96" w:rsidR="00726963" w:rsidRDefault="008D755E" w:rsidP="008D755E">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D049D5">
        <w:t>Left: Existing Process Swimlane Flowchart. Right: Process Swimlane Flowchart. Adapted for Solution Architects</w:t>
      </w:r>
      <w:r>
        <w:t>.</w:t>
      </w:r>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02DE5DD0" w:rsidR="00B3086E" w:rsidRDefault="00C65C92" w:rsidP="00C65C92">
      <w:pPr>
        <w:pStyle w:val="Heading1"/>
      </w:pPr>
      <w:r>
        <w:t>Implementation details of service delivery process change</w:t>
      </w:r>
    </w:p>
    <w:p w14:paraId="37244C62" w14:textId="77777777" w:rsidR="00C65C92" w:rsidRDefault="00C65C92" w:rsidP="00C65C92"/>
    <w:p w14:paraId="093DBE04" w14:textId="71509A66" w:rsidR="00585A58" w:rsidRDefault="00C65C92" w:rsidP="00585A58">
      <w:r>
        <w:t>This section builds on goals and metrics observed through stakeholder analysis, discussed earlier in this report. It will discuss implementation techniques, scheduling, methods of ongoing monitoring and evaluation. Additionally, the role of machine learning, a technology that has existing since the 1950s</w:t>
      </w:r>
      <w:r w:rsidR="004916A3">
        <w:t xml:space="preserve"> (Foote, 2021)</w:t>
      </w:r>
      <w:r>
        <w:t xml:space="preserve">, but is currently re-shaping </w:t>
      </w:r>
      <w:r w:rsidR="004916A3">
        <w:t xml:space="preserve">how we incorporate </w:t>
      </w:r>
      <w:r>
        <w:t>technology</w:t>
      </w:r>
      <w:r w:rsidR="004916A3">
        <w:t xml:space="preserve"> into business processes</w:t>
      </w:r>
      <w:r>
        <w:t>.</w:t>
      </w:r>
    </w:p>
    <w:p w14:paraId="5583F3F7" w14:textId="77777777" w:rsidR="005B124E" w:rsidRDefault="00F43D3D" w:rsidP="00585A58">
      <w:r>
        <w:t xml:space="preserve">Harmon (p.184-187) discusses management of business process change activities as requiring an organised plan for implementing change to ensure a smooth transition between the existing and proposed process. This also involves </w:t>
      </w:r>
      <w:r w:rsidR="005B124E">
        <w:t xml:space="preserve">cross-department communication and </w:t>
      </w:r>
      <w:r>
        <w:t>monitoring process metrics during and after change</w:t>
      </w:r>
      <w:r w:rsidR="005B124E">
        <w:t xml:space="preserve"> -</w:t>
      </w:r>
      <w:r>
        <w:t xml:space="preserve"> these metrics were displayed in Figure 10.</w:t>
      </w:r>
    </w:p>
    <w:p w14:paraId="487F53E8" w14:textId="70E40D45" w:rsidR="005B124E" w:rsidRDefault="005B124E" w:rsidP="00585A58">
      <w:r>
        <w:t>Harmon (p.124-126</w:t>
      </w:r>
      <w:r w:rsidR="00DA2253">
        <w:t>, p.184</w:t>
      </w:r>
      <w:r>
        <w:t xml:space="preserve">), discussing Business Process Management (BPM), also advises that a </w:t>
      </w:r>
      <w:r w:rsidR="00DA2253">
        <w:t>p</w:t>
      </w:r>
      <w:r>
        <w:t>rocess</w:t>
      </w:r>
      <w:r w:rsidR="00DA2253">
        <w:t xml:space="preserve"> owner</w:t>
      </w:r>
      <w:r>
        <w:t xml:space="preserve"> </w:t>
      </w:r>
      <w:r w:rsidR="00DA2253">
        <w:t xml:space="preserve">oversees </w:t>
      </w:r>
      <w:r>
        <w:t>the implementation. He suggests that process owners are typically managers of higher-level processes</w:t>
      </w:r>
      <w:r w:rsidR="00DA2253">
        <w:t xml:space="preserve"> and monitor performance</w:t>
      </w:r>
      <w:r>
        <w:t>, while process managers</w:t>
      </w:r>
      <w:r w:rsidR="00DA2253">
        <w:t xml:space="preserve"> are responsible for general process activities.</w:t>
      </w:r>
    </w:p>
    <w:p w14:paraId="09B5F091" w14:textId="77777777" w:rsidR="00AB4685" w:rsidRDefault="00AB4685" w:rsidP="00585A58"/>
    <w:p w14:paraId="458DB0B8" w14:textId="6861B0A1" w:rsidR="008D755E" w:rsidRDefault="006C5494" w:rsidP="00D3220C">
      <w:pPr>
        <w:pStyle w:val="Heading2"/>
      </w:pPr>
      <w:r>
        <w:t xml:space="preserve">Scheduling </w:t>
      </w:r>
      <w:r w:rsidR="00D3220C">
        <w:t>and measuring i</w:t>
      </w:r>
      <w:r>
        <w:t>mplementation</w:t>
      </w:r>
    </w:p>
    <w:p w14:paraId="27F58713" w14:textId="77777777" w:rsidR="008D755E" w:rsidRDefault="00CD104B" w:rsidP="008D755E">
      <w:pPr>
        <w:pStyle w:val="NormalWeb"/>
        <w:keepNext/>
      </w:pPr>
      <w:r>
        <w:rPr>
          <w:noProof/>
        </w:rPr>
        <w:drawing>
          <wp:inline distT="0" distB="0" distL="0" distR="0" wp14:anchorId="30652019" wp14:editId="785AB9AE">
            <wp:extent cx="6912497" cy="1191491"/>
            <wp:effectExtent l="0" t="0" r="3175" b="8890"/>
            <wp:docPr id="14178908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883" name="Picture 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50278" cy="1198003"/>
                    </a:xfrm>
                    <a:prstGeom prst="rect">
                      <a:avLst/>
                    </a:prstGeom>
                    <a:noFill/>
                    <a:ln>
                      <a:noFill/>
                    </a:ln>
                  </pic:spPr>
                </pic:pic>
              </a:graphicData>
            </a:graphic>
          </wp:inline>
        </w:drawing>
      </w:r>
    </w:p>
    <w:p w14:paraId="24FAD7D9" w14:textId="62EF9294" w:rsidR="000D68E3" w:rsidRDefault="008D755E" w:rsidP="000D68E3">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Schedule of Process Implementation</w:t>
      </w:r>
    </w:p>
    <w:p w14:paraId="58F27544" w14:textId="5D7F0DF6" w:rsidR="00382996" w:rsidRDefault="00382996" w:rsidP="000D68E3">
      <w:r>
        <w:t>Due to this process requiring recruitment of a new department, the best approach is to prepare process stakeholders during the recruitment phase, the duration of this phase is indeterminable due to employment notice periods, however it is estimated to take between three to six months.</w:t>
      </w:r>
    </w:p>
    <w:p w14:paraId="5710C7C8" w14:textId="4D7D3F4E" w:rsidR="000D68E3" w:rsidRDefault="000D68E3" w:rsidP="000D68E3">
      <w:r>
        <w:t xml:space="preserve">Once recruitment has concluded, clients can be prepared </w:t>
      </w:r>
      <w:r w:rsidR="001759EA">
        <w:t>while the solution architect is onboarded. As this is a high-risk high-reward change, it should be trialled with a few appropriate clients first, with later clients integrated depending on metrics measured during the trial period. Finally, Propel will monitor the capacity of the solution architect, deciding whether another is required to cover the requirements of all clients.</w:t>
      </w:r>
    </w:p>
    <w:p w14:paraId="0133C9CA" w14:textId="1500A731" w:rsidR="00D3220C" w:rsidRDefault="00D3220C" w:rsidP="000D68E3">
      <w:r>
        <w:t>As Pr</w:t>
      </w:r>
      <w:r>
        <w:t>op</w:t>
      </w:r>
      <w:r>
        <w:t>el is a small sized company, the role of process owner falls to the Operations Director</w:t>
      </w:r>
      <w:r>
        <w:t>, they will refer to the example measurements illustrated in Figure 11, analysing the trend of billable targets for engineers working on clients selected for the trial period, compared against lagging data.</w:t>
      </w:r>
    </w:p>
    <w:p w14:paraId="0EB8D697" w14:textId="77777777" w:rsidR="006C5494" w:rsidRDefault="006C5494" w:rsidP="000D68E3"/>
    <w:p w14:paraId="6648643F" w14:textId="54E9F541" w:rsidR="006C5494" w:rsidRDefault="003D4CB3" w:rsidP="003D4CB3">
      <w:pPr>
        <w:pStyle w:val="Heading2"/>
      </w:pPr>
      <w:r>
        <w:t>M</w:t>
      </w:r>
      <w:r w:rsidR="00382996">
        <w:t>achine learning for process evaluation</w:t>
      </w:r>
    </w:p>
    <w:p w14:paraId="246AAB3F" w14:textId="77777777" w:rsidR="00B6717B" w:rsidRDefault="00621D87" w:rsidP="003D4CB3">
      <w:r>
        <w:t>Mitchell (1997) describes Machine Learning (ML) as “the study of computer science algorithms that improve automatically through experience”.</w:t>
      </w:r>
      <w:r w:rsidR="00D66BD0">
        <w:t xml:space="preserve"> It is a subset of artificial intelligence (AI), which uses machine learning to train models on monumental datasets (Caltech</w:t>
      </w:r>
      <w:r w:rsidR="00383415">
        <w:t xml:space="preserve">, </w:t>
      </w:r>
      <w:proofErr w:type="spellStart"/>
      <w:r w:rsidR="00383415">
        <w:t>n.d</w:t>
      </w:r>
      <w:proofErr w:type="spellEnd"/>
      <w:r w:rsidR="00D66BD0">
        <w:t>).</w:t>
      </w:r>
    </w:p>
    <w:p w14:paraId="10C3D8E4" w14:textId="67EB856B" w:rsidR="003D4CB3" w:rsidRDefault="00383415" w:rsidP="003D4CB3">
      <w:r>
        <w:lastRenderedPageBreak/>
        <w:t xml:space="preserve">Open-source platforms like </w:t>
      </w:r>
      <w:proofErr w:type="spellStart"/>
      <w:r>
        <w:t>Tensorflow</w:t>
      </w:r>
      <w:proofErr w:type="spellEnd"/>
      <w:r>
        <w:t xml:space="preserve"> offer a set of tools and pipelines to create bespoke neural networks, a model that makes decisions in a manner like the human brain (IBM, </w:t>
      </w:r>
      <w:proofErr w:type="spellStart"/>
      <w:r>
        <w:t>n.d</w:t>
      </w:r>
      <w:proofErr w:type="spellEnd"/>
      <w:r>
        <w:t>), using individual datasets.</w:t>
      </w:r>
    </w:p>
    <w:p w14:paraId="3BF7DBBB" w14:textId="56A8D532" w:rsidR="002C2166" w:rsidRDefault="002C2166" w:rsidP="003D4CB3">
      <w:r>
        <w:t xml:space="preserve">Propel can leverage </w:t>
      </w:r>
      <w:proofErr w:type="spellStart"/>
      <w:r>
        <w:t>Tensorflow</w:t>
      </w:r>
      <w:proofErr w:type="spellEnd"/>
      <w:r>
        <w:t xml:space="preserve"> to translate their process measurement metrics into a custom model, trained on their leading and lagging data, to create custom dashboards for evaluating both the performance of business process change and guidelines on project estimation tailored to each client and system that Propel support.</w:t>
      </w:r>
    </w:p>
    <w:p w14:paraId="5A7E2D5B" w14:textId="766AF12C" w:rsidR="003D4CB3" w:rsidRDefault="003D4CB3" w:rsidP="003D4CB3">
      <w:proofErr w:type="spellStart"/>
      <w:r>
        <w:t>Cfeate</w:t>
      </w:r>
      <w:proofErr w:type="spellEnd"/>
      <w:r>
        <w:t xml:space="preserve"> platform</w:t>
      </w:r>
    </w:p>
    <w:p w14:paraId="156D225C" w14:textId="29EE6023" w:rsidR="003D4CB3" w:rsidRPr="003D4CB3" w:rsidRDefault="003D4CB3" w:rsidP="003D4CB3">
      <w:r>
        <w:t>Use for gains</w:t>
      </w:r>
    </w:p>
    <w:p w14:paraId="54832DBD" w14:textId="77777777" w:rsidR="000D68E3" w:rsidRPr="000D68E3" w:rsidRDefault="000D68E3" w:rsidP="000D68E3"/>
    <w:p w14:paraId="40C93F48" w14:textId="77777777" w:rsidR="00CD104B" w:rsidRPr="00CD104B" w:rsidRDefault="00CD104B" w:rsidP="00CD104B"/>
    <w:p w14:paraId="021A1869" w14:textId="00C627E4" w:rsidR="00A3792B" w:rsidRDefault="00AA49DE" w:rsidP="00A3792B">
      <w:pPr>
        <w:pStyle w:val="Heading1"/>
      </w:pPr>
      <w:bookmarkStart w:id="6" w:name="_Toc168226850"/>
      <w:r>
        <w:t>Task 3</w:t>
      </w:r>
      <w:bookmarkEnd w:id="6"/>
    </w:p>
    <w:p w14:paraId="6C065697" w14:textId="5678D045" w:rsidR="000D06F4" w:rsidRDefault="000D06F4" w:rsidP="000D06F4">
      <w:r>
        <w:t xml:space="preserve">Notes: </w:t>
      </w:r>
    </w:p>
    <w:p w14:paraId="59FDF053" w14:textId="77777777" w:rsidR="000D394E" w:rsidRDefault="000D394E" w:rsidP="000D06F4"/>
    <w:p w14:paraId="2D9CAE1F" w14:textId="37667AD2" w:rsidR="000D06F4" w:rsidRDefault="000D06F4" w:rsidP="000D06F4">
      <w:r>
        <w:t>Consider Page 174 Figure 10.10 from Paul Harmon, Automation Modelling etc.</w:t>
      </w:r>
    </w:p>
    <w:p w14:paraId="48D19642" w14:textId="6FFA70A1" w:rsidR="000D394E" w:rsidRDefault="000D394E" w:rsidP="000D06F4">
      <w:r>
        <w:t>Dive into Business Process Management Software tools</w:t>
      </w:r>
    </w:p>
    <w:p w14:paraId="3C9A2F41" w14:textId="363270CC" w:rsidR="000D06F4" w:rsidRPr="000D06F4" w:rsidRDefault="000D06F4" w:rsidP="000D06F4">
      <w:r>
        <w:t>Machine Learning to aid calculation of task estimates.</w:t>
      </w:r>
    </w:p>
    <w:p w14:paraId="22C3BCEB" w14:textId="77777777" w:rsidR="00585A58" w:rsidRPr="000D394E" w:rsidRDefault="00585A58" w:rsidP="00585A58">
      <w:pPr>
        <w:rPr>
          <w:b/>
          <w:bCs/>
        </w:rPr>
      </w:pPr>
      <w:r w:rsidRPr="000D394E">
        <w:rPr>
          <w:b/>
          <w:bCs/>
        </w:rPr>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Pr="000D394E" w:rsidRDefault="00585A58" w:rsidP="00585A58">
      <w:pPr>
        <w:rPr>
          <w:b/>
          <w:bCs/>
        </w:rPr>
      </w:pPr>
      <w:r w:rsidRPr="000D394E">
        <w:rPr>
          <w:b/>
          <w:bCs/>
        </w:rPr>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31FBBC91" w14:textId="6CA70922" w:rsidR="00AA49DE" w:rsidRDefault="00AA49DE" w:rsidP="00AA49DE">
      <w:pPr>
        <w:pStyle w:val="Heading1"/>
      </w:pPr>
      <w:bookmarkStart w:id="7" w:name="_Toc168226852"/>
      <w:r>
        <w:t>Appendi</w:t>
      </w:r>
      <w:r w:rsidR="000A6E86">
        <w:t>x A</w:t>
      </w:r>
      <w:bookmarkEnd w:id="7"/>
    </w:p>
    <w:p w14:paraId="7577E021" w14:textId="42568738" w:rsidR="000A6E86" w:rsidRDefault="000A6E86" w:rsidP="000A6E86">
      <w:pPr>
        <w:pStyle w:val="Heading3"/>
      </w:pPr>
      <w:bookmarkStart w:id="8" w:name="_Toc168226853"/>
      <w:r>
        <w:t>Figure 1: Porter’s Value Chain Analysis for Propel Tech</w:t>
      </w:r>
      <w:bookmarkEnd w:id="8"/>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9" w:name="_Toc168226854"/>
      <w:r>
        <w:t>Figure 2: Propel Tech’s Primary Activity Map</w:t>
      </w:r>
      <w:bookmarkEnd w:id="9"/>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0" w:name="_Toc168226855"/>
      <w:r>
        <w:t>Figure 3: Harmon’s Organisation Diagram of Propel Tech</w:t>
      </w:r>
      <w:bookmarkEnd w:id="10"/>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1" w:name="_Toc168226856"/>
      <w:r>
        <w:lastRenderedPageBreak/>
        <w:t>Figure 4: Service Delivery Process Scope Diagram</w:t>
      </w:r>
      <w:bookmarkEnd w:id="11"/>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2" w:name="_Toc168226857"/>
      <w:r>
        <w:t>Figure 5: Service Delivery Process Hierarchy Diagram</w:t>
      </w:r>
      <w:bookmarkEnd w:id="12"/>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3" w:name="_Toc168226858"/>
      <w:r>
        <w:t>Figure 6:</w:t>
      </w:r>
      <w:r w:rsidR="00004604">
        <w:t xml:space="preserve"> Process Swim-Lane Flowchart</w:t>
      </w:r>
      <w:bookmarkEnd w:id="13"/>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4" w:name="_Toc168226859"/>
      <w:r>
        <w:t>Figure 7: Fishbone Diagram of Risk Factors to Service Delivery</w:t>
      </w:r>
      <w:bookmarkEnd w:id="14"/>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5" w:name="_Toc168226860"/>
      <w:r>
        <w:t xml:space="preserve">Figure 8: Stakeholder Interest / </w:t>
      </w:r>
      <w:r w:rsidR="00266912">
        <w:t>Grid</w:t>
      </w:r>
      <w:r>
        <w:t xml:space="preserve"> Ratio Chart</w:t>
      </w:r>
      <w:bookmarkEnd w:id="15"/>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6" w:name="_Toc168226861"/>
      <w:r>
        <w:t>Figure 9: Primary Stakeholders</w:t>
      </w:r>
      <w:bookmarkEnd w:id="16"/>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7" w:name="_Toc168226862"/>
      <w:r>
        <w:t xml:space="preserve">Figure </w:t>
      </w:r>
      <w:r w:rsidR="00F709FA">
        <w:t>1</w:t>
      </w:r>
      <w:r w:rsidR="00033E90">
        <w:t>1</w:t>
      </w:r>
      <w:r w:rsidR="00F709FA">
        <w:t>:</w:t>
      </w:r>
      <w:r>
        <w:t xml:space="preserve"> Billable Hours Lagging &amp; Leading measurements.</w:t>
      </w:r>
      <w:bookmarkEnd w:id="17"/>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8" w:name="_Toc168226863"/>
      <w:r>
        <w:t>Figure 1</w:t>
      </w:r>
      <w:r w:rsidR="00033E90">
        <w:t>2</w:t>
      </w:r>
      <w:r>
        <w:t>: Client Headcount Lagging &amp; Leading measurements.</w:t>
      </w:r>
      <w:bookmarkEnd w:id="18"/>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r>
        <w:lastRenderedPageBreak/>
        <w:t>Figure 13: Architect vs Training expenses.</w:t>
      </w:r>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4F48715F" w14:textId="77777777" w:rsidR="00CF0BBC" w:rsidRDefault="00CF0BBC" w:rsidP="009505AC"/>
    <w:p w14:paraId="7F0E5917" w14:textId="049CB8B2" w:rsidR="00074F5A" w:rsidRDefault="00CF0BBC" w:rsidP="00CF0BBC">
      <w:pPr>
        <w:pStyle w:val="Heading3"/>
      </w:pPr>
      <w:r>
        <w:t>Figure 14: Human Performance Analysis.</w:t>
      </w:r>
    </w:p>
    <w:p w14:paraId="56287482" w14:textId="1538CE4F" w:rsidR="00CF0BBC" w:rsidRDefault="00CF0BBC" w:rsidP="009505AC">
      <w:r>
        <w:t>Adapted from Rummler (1990), this illustration documents items to measure the human factors of software task estimation.</w:t>
      </w:r>
    </w:p>
    <w:p w14:paraId="6725E21B" w14:textId="77777777" w:rsidR="00CF0BBC" w:rsidRDefault="00CF0BBC" w:rsidP="009505AC"/>
    <w:p w14:paraId="5608B33D" w14:textId="37F3AFF5" w:rsidR="00074F5A" w:rsidRDefault="00074F5A" w:rsidP="00074F5A">
      <w:pPr>
        <w:pStyle w:val="Heading3"/>
      </w:pPr>
      <w:r>
        <w:t>Figure 1</w:t>
      </w:r>
      <w:r w:rsidR="00CF0BBC">
        <w:t>5</w:t>
      </w:r>
      <w:r>
        <w:t>:</w:t>
      </w:r>
      <w:r w:rsidR="00F46721">
        <w:t xml:space="preserve"> </w:t>
      </w:r>
      <w:r w:rsidR="00AF6291" w:rsidRPr="00AF6291">
        <w:t>Left: Existing Process Swimlane Flowchart. Right: Process Swimlane Flowchart. Adapted for Solution Architects.</w:t>
      </w:r>
    </w:p>
    <w:p w14:paraId="57C838A5" w14:textId="75E5BF41" w:rsidR="00AF6291" w:rsidRDefault="00074F5A" w:rsidP="009505AC">
      <w:r>
        <w:t>This illustrates an updated Service Delivery flowchart, with the recommendations in place utilizing a solution architect, rather than cross-department estimation</w:t>
      </w:r>
      <w:r w:rsidR="00AF6291">
        <w:t>, paired against the existing estimation process</w:t>
      </w:r>
      <w:r>
        <w:t xml:space="preserve">. </w:t>
      </w:r>
    </w:p>
    <w:p w14:paraId="15FE65E0" w14:textId="77777777" w:rsidR="000D68E3" w:rsidRDefault="000D68E3" w:rsidP="009505AC"/>
    <w:p w14:paraId="4A0EF61B" w14:textId="026895C4" w:rsidR="000D68E3" w:rsidRDefault="000D68E3" w:rsidP="000D68E3">
      <w:pPr>
        <w:pStyle w:val="Heading3"/>
      </w:pPr>
      <w:r>
        <w:t>Figure 16: Schedule of Process Implementation</w:t>
      </w:r>
    </w:p>
    <w:p w14:paraId="7CCF10AB" w14:textId="20A409C2" w:rsidR="000D68E3" w:rsidRPr="000D68E3" w:rsidRDefault="000D68E3" w:rsidP="000D68E3">
      <w:r>
        <w:t xml:space="preserve">This illustration displays actions for process change management over a </w:t>
      </w:r>
      <w:r w:rsidR="00D66BD0">
        <w:t>12-month</w:t>
      </w:r>
      <w:r>
        <w:t xml:space="preserve"> period.</w:t>
      </w:r>
    </w:p>
    <w:p w14:paraId="51D116FF" w14:textId="44B8B7E2" w:rsidR="00AD1230" w:rsidRDefault="00AD1230" w:rsidP="00AD1230">
      <w:pPr>
        <w:pStyle w:val="Heading1"/>
      </w:pPr>
      <w:bookmarkStart w:id="19" w:name="_Toc168226864"/>
      <w:r>
        <w:t>References</w:t>
      </w:r>
      <w:bookmarkEnd w:id="19"/>
    </w:p>
    <w:p w14:paraId="7C17A943" w14:textId="6242F618" w:rsidR="00D66BD0" w:rsidRDefault="00D66BD0" w:rsidP="004916A3">
      <w:r w:rsidRPr="00D66BD0">
        <w:t>Caltech Science Exchange. (</w:t>
      </w:r>
      <w:proofErr w:type="spellStart"/>
      <w:r w:rsidR="00B608DE">
        <w:t>n</w:t>
      </w:r>
      <w:r>
        <w:t>.d</w:t>
      </w:r>
      <w:proofErr w:type="spellEnd"/>
      <w:r w:rsidRPr="00D66BD0">
        <w:t xml:space="preserve">). </w:t>
      </w:r>
      <w:r w:rsidRPr="00D66BD0">
        <w:rPr>
          <w:i/>
          <w:iCs/>
        </w:rPr>
        <w:t>Machine Learning Defined: How Do Computers Learn?</w:t>
      </w:r>
      <w:r w:rsidRPr="00D66BD0">
        <w:t xml:space="preserve"> Available at: </w:t>
      </w:r>
      <w:hyperlink r:id="rId31" w:history="1">
        <w:r w:rsidRPr="00174719">
          <w:rPr>
            <w:rStyle w:val="Hyperlink"/>
          </w:rPr>
          <w:t>https://scienceexchange.caltech.edu/topics/artificial-intelligence-research/artificial-intelligence-vs-machine-learning</w:t>
        </w:r>
      </w:hyperlink>
      <w:r>
        <w:t xml:space="preserve"> </w:t>
      </w:r>
      <w:r w:rsidRPr="00D66BD0">
        <w:t xml:space="preserve"> </w:t>
      </w:r>
      <w:r w:rsidRPr="00D66BD0">
        <w:t xml:space="preserve">[Accessed </w:t>
      </w:r>
      <w:r>
        <w:t>21</w:t>
      </w:r>
      <w:r w:rsidRPr="00D66BD0">
        <w:t xml:space="preserve"> Jun</w:t>
      </w:r>
      <w:r>
        <w:t>e</w:t>
      </w:r>
      <w:r w:rsidRPr="00D66BD0">
        <w:t xml:space="preserve"> 2024].</w:t>
      </w:r>
    </w:p>
    <w:p w14:paraId="1DA70D36" w14:textId="2311C74D" w:rsidR="004916A3" w:rsidRPr="004916A3" w:rsidRDefault="004916A3" w:rsidP="004916A3">
      <w:pPr>
        <w:rPr>
          <w:i/>
          <w:iCs/>
        </w:rPr>
      </w:pPr>
      <w:r>
        <w:t xml:space="preserve">Foote, D.K. (2021) </w:t>
      </w:r>
      <w:r w:rsidRPr="004916A3">
        <w:rPr>
          <w:i/>
          <w:iCs/>
        </w:rPr>
        <w:t>‘A Brief History of Machine Learning’</w:t>
      </w:r>
      <w:r>
        <w:rPr>
          <w:i/>
          <w:iCs/>
        </w:rPr>
        <w:t>, DataVersity</w:t>
      </w:r>
      <w:r w:rsidR="00D21BDE">
        <w:rPr>
          <w:i/>
          <w:iCs/>
        </w:rPr>
        <w:t xml:space="preserve">, </w:t>
      </w:r>
      <w:r w:rsidR="00D21BDE" w:rsidRPr="00D21BDE">
        <w:t>3rd December</w:t>
      </w:r>
      <w:r w:rsidR="00D21BDE">
        <w:t xml:space="preserve">. Available at: </w:t>
      </w:r>
      <w:hyperlink r:id="rId32" w:history="1">
        <w:r w:rsidR="00D21BDE" w:rsidRPr="00CF3AF7">
          <w:rPr>
            <w:rStyle w:val="Hyperlink"/>
          </w:rPr>
          <w:t>https://www.dataversity.net/a-brief-history-of-machine-learning/</w:t>
        </w:r>
      </w:hyperlink>
      <w:r w:rsidR="00D21BDE">
        <w:t xml:space="preserve"> [Accessed 15/06/2024]</w:t>
      </w:r>
    </w:p>
    <w:p w14:paraId="3138BD2A" w14:textId="467ED5EB" w:rsidR="0059502A"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3B3D08F8" w14:textId="16903166" w:rsidR="008F4729" w:rsidRPr="00DC5E01" w:rsidRDefault="008F4729" w:rsidP="00DC5E01">
      <w:proofErr w:type="spellStart"/>
      <w:r w:rsidRPr="008F4729">
        <w:t>Géron</w:t>
      </w:r>
      <w:proofErr w:type="spellEnd"/>
      <w:r w:rsidRPr="008F4729">
        <w:t xml:space="preserve">, A. (2019) </w:t>
      </w:r>
      <w:r w:rsidRPr="008F4729">
        <w:rPr>
          <w:i/>
          <w:iCs/>
        </w:rPr>
        <w:t xml:space="preserve">Hands-On Machine Learning with Scikit-Learn, </w:t>
      </w:r>
      <w:proofErr w:type="spellStart"/>
      <w:r w:rsidRPr="008F4729">
        <w:rPr>
          <w:i/>
          <w:iCs/>
        </w:rPr>
        <w:t>Keras</w:t>
      </w:r>
      <w:proofErr w:type="spellEnd"/>
      <w:r w:rsidRPr="008F4729">
        <w:rPr>
          <w:i/>
          <w:iCs/>
        </w:rPr>
        <w:t>, and TensorFlow: Concepts, Tools, and Techniques to Build Intelligent Systems.</w:t>
      </w:r>
      <w:r w:rsidRPr="008F4729">
        <w:t xml:space="preserve"> 2nd ed</w:t>
      </w:r>
      <w:r>
        <w:t>ition</w:t>
      </w:r>
      <w:r w:rsidRPr="008F4729">
        <w:t xml:space="preserve">. Sebastopol, </w:t>
      </w:r>
      <w:r>
        <w:t>California</w:t>
      </w:r>
      <w:r w:rsidRPr="008F4729">
        <w:t>: O'Reilly Media.</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5653C9B7" w14:textId="417416B6" w:rsidR="004916A3"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25</w:t>
      </w:r>
      <w:r w:rsidR="00D21BDE">
        <w:t>th</w:t>
      </w:r>
      <w:r>
        <w:t xml:space="preserve"> June. Updated on 22 April 2024. Available at: </w:t>
      </w:r>
      <w:hyperlink r:id="rId33" w:tgtFrame="_new" w:history="1">
        <w:r>
          <w:rPr>
            <w:rStyle w:val="Hyperlink"/>
          </w:rPr>
          <w:t>https://boardmix.com/examples/value-chain-analysis/</w:t>
        </w:r>
      </w:hyperlink>
      <w:r>
        <w:t xml:space="preserve"> [Accessed: 2</w:t>
      </w:r>
      <w:r w:rsidR="00DC5E01">
        <w:t>1</w:t>
      </w:r>
      <w:r>
        <w:t xml:space="preserve"> May 2024]</w:t>
      </w:r>
    </w:p>
    <w:p w14:paraId="12B1E545" w14:textId="2BF59583" w:rsidR="00383415" w:rsidRPr="00383415" w:rsidRDefault="00383415" w:rsidP="009A4A49">
      <w:r>
        <w:t>IBM (</w:t>
      </w:r>
      <w:proofErr w:type="spellStart"/>
      <w:r>
        <w:t>n.d</w:t>
      </w:r>
      <w:proofErr w:type="spellEnd"/>
      <w:r>
        <w:t xml:space="preserve">). </w:t>
      </w:r>
      <w:r>
        <w:rPr>
          <w:i/>
          <w:iCs/>
        </w:rPr>
        <w:t>What is a neural network?</w:t>
      </w:r>
      <w:r>
        <w:t xml:space="preserve"> Available at: </w:t>
      </w:r>
      <w:hyperlink r:id="rId34" w:history="1">
        <w:r w:rsidRPr="00174719">
          <w:rPr>
            <w:rStyle w:val="Hyperlink"/>
          </w:rPr>
          <w:t>https://www.ibm.com/topics/neural-networks</w:t>
        </w:r>
      </w:hyperlink>
      <w:r>
        <w:t xml:space="preserve"> [Accessed 22/06/2024]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5" w:tgtFrame="_new" w:history="1">
        <w:r>
          <w:rPr>
            <w:rStyle w:val="Hyperlink"/>
          </w:rPr>
          <w:t>https://www.techtarget.com/whatis/definition/fishbone-diagram</w:t>
        </w:r>
      </w:hyperlink>
      <w:r>
        <w:t xml:space="preserve"> [Accessed: 28 May 2024].</w:t>
      </w:r>
    </w:p>
    <w:p w14:paraId="020556ED" w14:textId="48AD4C23" w:rsidR="00621D87" w:rsidRDefault="00621D87" w:rsidP="009A4A49">
      <w:r>
        <w:t xml:space="preserve">Mitchell, T.M., 1997. </w:t>
      </w:r>
      <w:r w:rsidRPr="00621D87">
        <w:rPr>
          <w:i/>
          <w:iCs/>
        </w:rPr>
        <w:t>Machine Learning.</w:t>
      </w:r>
      <w:r>
        <w:t xml:space="preserve"> </w:t>
      </w:r>
      <w:r>
        <w:t>1</w:t>
      </w:r>
      <w:r w:rsidRPr="00621D87">
        <w:rPr>
          <w:vertAlign w:val="superscript"/>
        </w:rPr>
        <w:t>st</w:t>
      </w:r>
      <w:r>
        <w:t xml:space="preserve"> Edition. </w:t>
      </w:r>
      <w:r>
        <w:t>New York: McGraw-Hill.</w:t>
      </w:r>
    </w:p>
    <w:p w14:paraId="3978CCA2" w14:textId="45DA92B0"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w:t>
      </w:r>
      <w:r w:rsidR="00D21BDE">
        <w:t>st</w:t>
      </w:r>
      <w:r w:rsidRPr="004B32F1">
        <w:t xml:space="preserve"> October. Available at: https://www.techmagic.co/blog/risks-in-product-cost-estimation-and-how-to-avoid-them/ [Accessed 14 May 2024].</w:t>
      </w:r>
    </w:p>
    <w:p w14:paraId="614C224B" w14:textId="5755C6C5" w:rsidR="009A4A49" w:rsidRDefault="009A4A49" w:rsidP="009A4A49">
      <w:r w:rsidRPr="009A4A49">
        <w:lastRenderedPageBreak/>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1</w:t>
      </w:r>
      <w:r w:rsidRPr="00CF0BBC">
        <w:rPr>
          <w:vertAlign w:val="superscript"/>
        </w:rPr>
        <w:t>st</w:t>
      </w:r>
      <w:r>
        <w:t xml:space="preserve"> Edition, San Francisco, Jossey-Bass.</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36" w:history="1">
        <w:r w:rsidRPr="00AB3972">
          <w:rPr>
            <w:rStyle w:val="Hyperlink"/>
          </w:rPr>
          <w:t>https://www.intellectsoft.net/blog/what-is-solutions-architect/</w:t>
        </w:r>
      </w:hyperlink>
      <w:r>
        <w:t xml:space="preserve"> [Accessed 03/06/2024]</w:t>
      </w:r>
    </w:p>
    <w:p w14:paraId="74C1C922" w14:textId="137922DF" w:rsidR="00F11CFD" w:rsidRDefault="00F11CFD" w:rsidP="005F0E99">
      <w:proofErr w:type="spellStart"/>
      <w:r>
        <w:t>Tensorflow</w:t>
      </w:r>
      <w:proofErr w:type="spellEnd"/>
      <w:r>
        <w:t>. (</w:t>
      </w:r>
      <w:proofErr w:type="spellStart"/>
      <w:r w:rsidR="00B608DE">
        <w:t>n</w:t>
      </w:r>
      <w:r>
        <w:t>.d</w:t>
      </w:r>
      <w:proofErr w:type="spellEnd"/>
      <w:r>
        <w:t xml:space="preserve">) </w:t>
      </w:r>
      <w:r>
        <w:rPr>
          <w:i/>
          <w:iCs/>
        </w:rPr>
        <w:t xml:space="preserve">Introduction to </w:t>
      </w:r>
      <w:proofErr w:type="spellStart"/>
      <w:r>
        <w:rPr>
          <w:i/>
          <w:iCs/>
        </w:rPr>
        <w:t>Tensorflow</w:t>
      </w:r>
      <w:proofErr w:type="spellEnd"/>
      <w:r w:rsidR="002C2166">
        <w:rPr>
          <w:i/>
          <w:iCs/>
        </w:rPr>
        <w:t>.</w:t>
      </w:r>
      <w:r>
        <w:t xml:space="preserve"> Available at: </w:t>
      </w:r>
      <w:hyperlink r:id="rId37" w:history="1">
        <w:r w:rsidRPr="00174719">
          <w:rPr>
            <w:rStyle w:val="Hyperlink"/>
          </w:rPr>
          <w:t>https://www.tensorflow.org/learn</w:t>
        </w:r>
      </w:hyperlink>
      <w:r>
        <w:t xml:space="preserve"> [Accessed 22/06/2024]</w:t>
      </w:r>
    </w:p>
    <w:p w14:paraId="32BAD93D" w14:textId="23869C8A" w:rsidR="002C2166" w:rsidRPr="002C2166" w:rsidRDefault="002C2166" w:rsidP="005F0E99">
      <w:proofErr w:type="spellStart"/>
      <w:r>
        <w:t>Tensorflow</w:t>
      </w:r>
      <w:proofErr w:type="spellEnd"/>
      <w:r>
        <w:t>. (</w:t>
      </w:r>
      <w:proofErr w:type="spellStart"/>
      <w:r>
        <w:t>n.d</w:t>
      </w:r>
      <w:proofErr w:type="spellEnd"/>
      <w:r>
        <w:t xml:space="preserve">) </w:t>
      </w:r>
      <w:r>
        <w:rPr>
          <w:i/>
          <w:iCs/>
        </w:rPr>
        <w:t xml:space="preserve">Get started with </w:t>
      </w:r>
      <w:proofErr w:type="spellStart"/>
      <w:r>
        <w:rPr>
          <w:i/>
          <w:iCs/>
        </w:rPr>
        <w:t>Tensorboard</w:t>
      </w:r>
      <w:proofErr w:type="spellEnd"/>
      <w:r>
        <w:rPr>
          <w:i/>
          <w:iCs/>
        </w:rPr>
        <w:t>.</w:t>
      </w:r>
      <w:r>
        <w:t xml:space="preserve"> Available at: </w:t>
      </w:r>
      <w:hyperlink r:id="rId38" w:history="1">
        <w:r w:rsidRPr="00174719">
          <w:rPr>
            <w:rStyle w:val="Hyperlink"/>
          </w:rPr>
          <w:t>https://www.tensorflow.org/tensorboard/get_started</w:t>
        </w:r>
      </w:hyperlink>
      <w:r>
        <w:t xml:space="preserve"> [Accessed 22/06/2024]</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BCA4D" w14:textId="77777777" w:rsidR="00D63A33" w:rsidRDefault="00D63A33" w:rsidP="008302B7">
      <w:pPr>
        <w:spacing w:after="0" w:line="240" w:lineRule="auto"/>
      </w:pPr>
      <w:r>
        <w:separator/>
      </w:r>
    </w:p>
  </w:endnote>
  <w:endnote w:type="continuationSeparator" w:id="0">
    <w:p w14:paraId="76F68406" w14:textId="77777777" w:rsidR="00D63A33" w:rsidRDefault="00D63A33"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C03DA" w14:textId="77777777" w:rsidR="00D63A33" w:rsidRDefault="00D63A33" w:rsidP="008302B7">
      <w:pPr>
        <w:spacing w:after="0" w:line="240" w:lineRule="auto"/>
      </w:pPr>
      <w:r>
        <w:separator/>
      </w:r>
    </w:p>
  </w:footnote>
  <w:footnote w:type="continuationSeparator" w:id="0">
    <w:p w14:paraId="76539BE9" w14:textId="77777777" w:rsidR="00D63A33" w:rsidRDefault="00D63A33"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739F90D8"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A61250">
      <w:rPr>
        <w:rFonts w:cs="Calibri Light"/>
      </w:rPr>
      <w:t>Business Systems and Processes</w:t>
    </w:r>
    <w:r w:rsidR="008302B7" w:rsidRPr="008302B7">
      <w:rPr>
        <w:rFonts w:cs="Calibri Light"/>
      </w:rPr>
      <w:ptab w:relativeTo="margin" w:alignment="right" w:leader="none"/>
    </w:r>
    <w:r w:rsidR="008302B7">
      <w:rPr>
        <w:rFonts w:cs="Calibri Light"/>
      </w:rPr>
      <w:t>QAC020</w:t>
    </w:r>
    <w:r w:rsidR="00A61250">
      <w:rPr>
        <w:rFonts w:cs="Calibri Light"/>
      </w:rPr>
      <w:t>N225K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D394E"/>
    <w:rsid w:val="000D68E3"/>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759EA"/>
    <w:rsid w:val="001805EF"/>
    <w:rsid w:val="001A2C9E"/>
    <w:rsid w:val="001A3A7D"/>
    <w:rsid w:val="001C624C"/>
    <w:rsid w:val="001D2E9E"/>
    <w:rsid w:val="001D739F"/>
    <w:rsid w:val="001E20ED"/>
    <w:rsid w:val="001E4D8B"/>
    <w:rsid w:val="001F1EBB"/>
    <w:rsid w:val="001F400D"/>
    <w:rsid w:val="00203805"/>
    <w:rsid w:val="00216344"/>
    <w:rsid w:val="0022003F"/>
    <w:rsid w:val="0022087C"/>
    <w:rsid w:val="00254912"/>
    <w:rsid w:val="00266912"/>
    <w:rsid w:val="00280DCB"/>
    <w:rsid w:val="00280F2D"/>
    <w:rsid w:val="00290CB4"/>
    <w:rsid w:val="0029442C"/>
    <w:rsid w:val="002A17A9"/>
    <w:rsid w:val="002A60CE"/>
    <w:rsid w:val="002C04BA"/>
    <w:rsid w:val="002C2166"/>
    <w:rsid w:val="002C3C64"/>
    <w:rsid w:val="002C424C"/>
    <w:rsid w:val="002E449E"/>
    <w:rsid w:val="002F0782"/>
    <w:rsid w:val="002F1A46"/>
    <w:rsid w:val="00302FED"/>
    <w:rsid w:val="00315681"/>
    <w:rsid w:val="00315CB3"/>
    <w:rsid w:val="003227BD"/>
    <w:rsid w:val="00335719"/>
    <w:rsid w:val="003362A9"/>
    <w:rsid w:val="00336CA3"/>
    <w:rsid w:val="003531CC"/>
    <w:rsid w:val="00360337"/>
    <w:rsid w:val="00382996"/>
    <w:rsid w:val="00383415"/>
    <w:rsid w:val="00391416"/>
    <w:rsid w:val="003929ED"/>
    <w:rsid w:val="003938AB"/>
    <w:rsid w:val="003A1177"/>
    <w:rsid w:val="003B2891"/>
    <w:rsid w:val="003B7C57"/>
    <w:rsid w:val="003C749C"/>
    <w:rsid w:val="003D4CB3"/>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916A3"/>
    <w:rsid w:val="004A22B5"/>
    <w:rsid w:val="004B05EF"/>
    <w:rsid w:val="004B32F1"/>
    <w:rsid w:val="004B6EC3"/>
    <w:rsid w:val="004C0BA2"/>
    <w:rsid w:val="004C489B"/>
    <w:rsid w:val="004D0DD7"/>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B124E"/>
    <w:rsid w:val="005D4004"/>
    <w:rsid w:val="005E721E"/>
    <w:rsid w:val="005F0E99"/>
    <w:rsid w:val="005F423E"/>
    <w:rsid w:val="005F5459"/>
    <w:rsid w:val="005F58BD"/>
    <w:rsid w:val="005F6E19"/>
    <w:rsid w:val="0061137F"/>
    <w:rsid w:val="00620E4C"/>
    <w:rsid w:val="00621D87"/>
    <w:rsid w:val="006235DB"/>
    <w:rsid w:val="0062507F"/>
    <w:rsid w:val="0064130B"/>
    <w:rsid w:val="00642487"/>
    <w:rsid w:val="0065206C"/>
    <w:rsid w:val="00661C1A"/>
    <w:rsid w:val="00671BBE"/>
    <w:rsid w:val="0067633B"/>
    <w:rsid w:val="006801F7"/>
    <w:rsid w:val="00682099"/>
    <w:rsid w:val="00687B54"/>
    <w:rsid w:val="0069409C"/>
    <w:rsid w:val="006B54D9"/>
    <w:rsid w:val="006C00C2"/>
    <w:rsid w:val="006C04F8"/>
    <w:rsid w:val="006C1983"/>
    <w:rsid w:val="006C25F6"/>
    <w:rsid w:val="006C5494"/>
    <w:rsid w:val="006C5910"/>
    <w:rsid w:val="006D2170"/>
    <w:rsid w:val="006E27F8"/>
    <w:rsid w:val="006E4FB4"/>
    <w:rsid w:val="007012ED"/>
    <w:rsid w:val="007102AF"/>
    <w:rsid w:val="00711B49"/>
    <w:rsid w:val="007121C4"/>
    <w:rsid w:val="007142DE"/>
    <w:rsid w:val="0072487C"/>
    <w:rsid w:val="00726963"/>
    <w:rsid w:val="00743928"/>
    <w:rsid w:val="00745739"/>
    <w:rsid w:val="0076503A"/>
    <w:rsid w:val="0077346E"/>
    <w:rsid w:val="00782DCA"/>
    <w:rsid w:val="0078443A"/>
    <w:rsid w:val="007867F0"/>
    <w:rsid w:val="007959A5"/>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D755E"/>
    <w:rsid w:val="008E5D75"/>
    <w:rsid w:val="008E62F2"/>
    <w:rsid w:val="008E6E06"/>
    <w:rsid w:val="008F132B"/>
    <w:rsid w:val="008F4729"/>
    <w:rsid w:val="00914393"/>
    <w:rsid w:val="0092001C"/>
    <w:rsid w:val="009254F2"/>
    <w:rsid w:val="00927A13"/>
    <w:rsid w:val="00933764"/>
    <w:rsid w:val="00934B27"/>
    <w:rsid w:val="009431B3"/>
    <w:rsid w:val="009505AC"/>
    <w:rsid w:val="00950B1D"/>
    <w:rsid w:val="00952B56"/>
    <w:rsid w:val="00954CB6"/>
    <w:rsid w:val="00955038"/>
    <w:rsid w:val="00973098"/>
    <w:rsid w:val="00986875"/>
    <w:rsid w:val="00996B01"/>
    <w:rsid w:val="00997C41"/>
    <w:rsid w:val="009A4A49"/>
    <w:rsid w:val="009A4DBC"/>
    <w:rsid w:val="009A5C0E"/>
    <w:rsid w:val="009A6E29"/>
    <w:rsid w:val="009B4DA8"/>
    <w:rsid w:val="009D1A31"/>
    <w:rsid w:val="009D75D6"/>
    <w:rsid w:val="009E3E6E"/>
    <w:rsid w:val="009E5700"/>
    <w:rsid w:val="009E70BE"/>
    <w:rsid w:val="009F4B87"/>
    <w:rsid w:val="00A035A6"/>
    <w:rsid w:val="00A066E7"/>
    <w:rsid w:val="00A1006A"/>
    <w:rsid w:val="00A20650"/>
    <w:rsid w:val="00A32BCD"/>
    <w:rsid w:val="00A360B8"/>
    <w:rsid w:val="00A3792B"/>
    <w:rsid w:val="00A45A57"/>
    <w:rsid w:val="00A60942"/>
    <w:rsid w:val="00A61250"/>
    <w:rsid w:val="00A73BBF"/>
    <w:rsid w:val="00A75746"/>
    <w:rsid w:val="00A8529B"/>
    <w:rsid w:val="00A85D11"/>
    <w:rsid w:val="00AA49DE"/>
    <w:rsid w:val="00AB4685"/>
    <w:rsid w:val="00AB52D8"/>
    <w:rsid w:val="00AD022F"/>
    <w:rsid w:val="00AD1230"/>
    <w:rsid w:val="00AD313B"/>
    <w:rsid w:val="00AE2545"/>
    <w:rsid w:val="00AF6271"/>
    <w:rsid w:val="00AF6291"/>
    <w:rsid w:val="00B142AC"/>
    <w:rsid w:val="00B20BDB"/>
    <w:rsid w:val="00B26B35"/>
    <w:rsid w:val="00B3086E"/>
    <w:rsid w:val="00B40A64"/>
    <w:rsid w:val="00B40E9F"/>
    <w:rsid w:val="00B608DE"/>
    <w:rsid w:val="00B62B5F"/>
    <w:rsid w:val="00B64D39"/>
    <w:rsid w:val="00B6717B"/>
    <w:rsid w:val="00B8135B"/>
    <w:rsid w:val="00B9663D"/>
    <w:rsid w:val="00BC4B1F"/>
    <w:rsid w:val="00BC4F6E"/>
    <w:rsid w:val="00BD1C43"/>
    <w:rsid w:val="00BD3668"/>
    <w:rsid w:val="00BD381A"/>
    <w:rsid w:val="00BD6C33"/>
    <w:rsid w:val="00BE18AA"/>
    <w:rsid w:val="00BE516A"/>
    <w:rsid w:val="00BE764E"/>
    <w:rsid w:val="00BF7CA5"/>
    <w:rsid w:val="00C20C53"/>
    <w:rsid w:val="00C3056E"/>
    <w:rsid w:val="00C317EB"/>
    <w:rsid w:val="00C441AA"/>
    <w:rsid w:val="00C52EF8"/>
    <w:rsid w:val="00C60E92"/>
    <w:rsid w:val="00C623F2"/>
    <w:rsid w:val="00C65C92"/>
    <w:rsid w:val="00C7018C"/>
    <w:rsid w:val="00C718B8"/>
    <w:rsid w:val="00C7611C"/>
    <w:rsid w:val="00C7699D"/>
    <w:rsid w:val="00C818ED"/>
    <w:rsid w:val="00C90544"/>
    <w:rsid w:val="00C908DC"/>
    <w:rsid w:val="00C96812"/>
    <w:rsid w:val="00C97DD1"/>
    <w:rsid w:val="00CA59B4"/>
    <w:rsid w:val="00CA782D"/>
    <w:rsid w:val="00CC08C0"/>
    <w:rsid w:val="00CD104B"/>
    <w:rsid w:val="00CD1F98"/>
    <w:rsid w:val="00CD63E9"/>
    <w:rsid w:val="00CD7B3D"/>
    <w:rsid w:val="00CE2405"/>
    <w:rsid w:val="00CE2EF6"/>
    <w:rsid w:val="00CE5716"/>
    <w:rsid w:val="00CE6522"/>
    <w:rsid w:val="00CF0BBC"/>
    <w:rsid w:val="00D07421"/>
    <w:rsid w:val="00D15C9A"/>
    <w:rsid w:val="00D160EE"/>
    <w:rsid w:val="00D17BF5"/>
    <w:rsid w:val="00D21BDE"/>
    <w:rsid w:val="00D26A7D"/>
    <w:rsid w:val="00D3070C"/>
    <w:rsid w:val="00D3220C"/>
    <w:rsid w:val="00D3262D"/>
    <w:rsid w:val="00D33169"/>
    <w:rsid w:val="00D346F1"/>
    <w:rsid w:val="00D4345E"/>
    <w:rsid w:val="00D44D35"/>
    <w:rsid w:val="00D44DF5"/>
    <w:rsid w:val="00D5172C"/>
    <w:rsid w:val="00D51940"/>
    <w:rsid w:val="00D538C6"/>
    <w:rsid w:val="00D6125C"/>
    <w:rsid w:val="00D63A33"/>
    <w:rsid w:val="00D66BD0"/>
    <w:rsid w:val="00D733F5"/>
    <w:rsid w:val="00D9143D"/>
    <w:rsid w:val="00D92CDD"/>
    <w:rsid w:val="00D93894"/>
    <w:rsid w:val="00D9721F"/>
    <w:rsid w:val="00DA11DE"/>
    <w:rsid w:val="00DA2253"/>
    <w:rsid w:val="00DB6D93"/>
    <w:rsid w:val="00DB6D9A"/>
    <w:rsid w:val="00DC15BE"/>
    <w:rsid w:val="00DC1754"/>
    <w:rsid w:val="00DC5E01"/>
    <w:rsid w:val="00DE33A9"/>
    <w:rsid w:val="00DE5889"/>
    <w:rsid w:val="00E029B4"/>
    <w:rsid w:val="00E0786E"/>
    <w:rsid w:val="00E2277C"/>
    <w:rsid w:val="00E22F19"/>
    <w:rsid w:val="00E347F1"/>
    <w:rsid w:val="00E41621"/>
    <w:rsid w:val="00E520B6"/>
    <w:rsid w:val="00E5682F"/>
    <w:rsid w:val="00E71DB8"/>
    <w:rsid w:val="00E72CC8"/>
    <w:rsid w:val="00E72E4B"/>
    <w:rsid w:val="00E870EC"/>
    <w:rsid w:val="00EA4B05"/>
    <w:rsid w:val="00EA59D8"/>
    <w:rsid w:val="00EB529E"/>
    <w:rsid w:val="00EB5A58"/>
    <w:rsid w:val="00EC219B"/>
    <w:rsid w:val="00EC628D"/>
    <w:rsid w:val="00ED0BC7"/>
    <w:rsid w:val="00ED1DB7"/>
    <w:rsid w:val="00ED24C5"/>
    <w:rsid w:val="00EE195D"/>
    <w:rsid w:val="00F07CDA"/>
    <w:rsid w:val="00F11CFD"/>
    <w:rsid w:val="00F217F1"/>
    <w:rsid w:val="00F275EA"/>
    <w:rsid w:val="00F4396E"/>
    <w:rsid w:val="00F43D3D"/>
    <w:rsid w:val="00F44D8D"/>
    <w:rsid w:val="00F46721"/>
    <w:rsid w:val="00F517E5"/>
    <w:rsid w:val="00F5382A"/>
    <w:rsid w:val="00F608A1"/>
    <w:rsid w:val="00F709FA"/>
    <w:rsid w:val="00FA574A"/>
    <w:rsid w:val="00FA63A8"/>
    <w:rsid w:val="00FC2A9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185">
      <w:bodyDiv w:val="1"/>
      <w:marLeft w:val="0"/>
      <w:marRight w:val="0"/>
      <w:marTop w:val="0"/>
      <w:marBottom w:val="0"/>
      <w:divBdr>
        <w:top w:val="none" w:sz="0" w:space="0" w:color="auto"/>
        <w:left w:val="none" w:sz="0" w:space="0" w:color="auto"/>
        <w:bottom w:val="none" w:sz="0" w:space="0" w:color="auto"/>
        <w:right w:val="none" w:sz="0" w:space="0" w:color="auto"/>
      </w:divBdr>
    </w:div>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324435540">
      <w:bodyDiv w:val="1"/>
      <w:marLeft w:val="0"/>
      <w:marRight w:val="0"/>
      <w:marTop w:val="0"/>
      <w:marBottom w:val="0"/>
      <w:divBdr>
        <w:top w:val="none" w:sz="0" w:space="0" w:color="auto"/>
        <w:left w:val="none" w:sz="0" w:space="0" w:color="auto"/>
        <w:bottom w:val="none" w:sz="0" w:space="0" w:color="auto"/>
        <w:right w:val="none" w:sz="0" w:space="0" w:color="auto"/>
      </w:divBdr>
      <w:divsChild>
        <w:div w:id="1987857821">
          <w:marLeft w:val="0"/>
          <w:marRight w:val="0"/>
          <w:marTop w:val="0"/>
          <w:marBottom w:val="0"/>
          <w:divBdr>
            <w:top w:val="none" w:sz="0" w:space="0" w:color="auto"/>
            <w:left w:val="none" w:sz="0" w:space="0" w:color="auto"/>
            <w:bottom w:val="none" w:sz="0" w:space="0" w:color="auto"/>
            <w:right w:val="none" w:sz="0" w:space="0" w:color="auto"/>
          </w:divBdr>
          <w:divsChild>
            <w:div w:id="1591546941">
              <w:marLeft w:val="0"/>
              <w:marRight w:val="0"/>
              <w:marTop w:val="0"/>
              <w:marBottom w:val="0"/>
              <w:divBdr>
                <w:top w:val="none" w:sz="0" w:space="0" w:color="auto"/>
                <w:left w:val="none" w:sz="0" w:space="0" w:color="auto"/>
                <w:bottom w:val="none" w:sz="0" w:space="0" w:color="auto"/>
                <w:right w:val="none" w:sz="0" w:space="0" w:color="auto"/>
              </w:divBdr>
              <w:divsChild>
                <w:div w:id="240069971">
                  <w:marLeft w:val="0"/>
                  <w:marRight w:val="0"/>
                  <w:marTop w:val="0"/>
                  <w:marBottom w:val="0"/>
                  <w:divBdr>
                    <w:top w:val="none" w:sz="0" w:space="0" w:color="auto"/>
                    <w:left w:val="none" w:sz="0" w:space="0" w:color="auto"/>
                    <w:bottom w:val="none" w:sz="0" w:space="0" w:color="auto"/>
                    <w:right w:val="none" w:sz="0" w:space="0" w:color="auto"/>
                  </w:divBdr>
                  <w:divsChild>
                    <w:div w:id="15166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116631670">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bm.com/topics/neural-network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boardmix.com/examples/value-chain-analysis/" TargetMode="External"/><Relationship Id="rId38" Type="http://schemas.openxmlformats.org/officeDocument/2006/relationships/hyperlink" Target="https://www.tensorflow.org/tensorboard/get_starte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hyperlink" Target="https://www.dataversity.net/a-brief-history-of-machine-learning/" TargetMode="External"/><Relationship Id="rId37" Type="http://schemas.openxmlformats.org/officeDocument/2006/relationships/hyperlink" Target="https://www.tensorflow.org/lear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intellectsoft.net/blog/what-is-solutions-architect/" TargetMode="Externa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scienceexchange.caltech.edu/topics/artificial-intelligence-research/artificial-intelligence-vs-machine-learning"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echtarget.com/whatis/definition/fishbone-diagra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7349</TotalTime>
  <Pages>20</Pages>
  <Words>4421</Words>
  <Characters>25202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201</cp:revision>
  <dcterms:created xsi:type="dcterms:W3CDTF">2024-02-17T11:40:00Z</dcterms:created>
  <dcterms:modified xsi:type="dcterms:W3CDTF">2024-06-22T09:45:00Z</dcterms:modified>
</cp:coreProperties>
</file>