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F967B2">
      <w:pPr>
        <w:rPr>
          <w:rFonts w:hint="default"/>
          <w:lang w:val="en-US" w:eastAsia="zh-CN"/>
        </w:rPr>
      </w:pPr>
      <w:r>
        <w:rPr>
          <w:rFonts w:hint="default"/>
          <w:lang w:val="en-US" w:eastAsia="zh-CN"/>
        </w:rPr>
        <w:t>引言（Introduction）——抗药性、利福平机制与机器学习研究综述</w:t>
      </w:r>
    </w:p>
    <w:p w14:paraId="38741741">
      <w:pPr>
        <w:rPr>
          <w:rFonts w:hint="default"/>
          <w:lang w:val="en-US" w:eastAsia="zh-CN"/>
        </w:rPr>
      </w:pPr>
      <w:r>
        <w:rPr>
          <w:rFonts w:hint="default"/>
          <w:lang w:val="en-US" w:eastAsia="zh-CN"/>
        </w:rPr>
        <w:t>一、抗菌素耐药性（AMR）的全球背景与挑战</w:t>
      </w:r>
    </w:p>
    <w:p w14:paraId="151D0FC7">
      <w:pPr>
        <w:rPr>
          <w:rFonts w:hint="default"/>
          <w:lang w:val="en-US" w:eastAsia="zh-CN"/>
        </w:rPr>
      </w:pPr>
    </w:p>
    <w:p w14:paraId="397E29B9">
      <w:pPr>
        <w:rPr>
          <w:rFonts w:hint="default"/>
          <w:lang w:val="en-US" w:eastAsia="zh-CN"/>
        </w:rPr>
      </w:pPr>
      <w:r>
        <w:rPr>
          <w:rFonts w:hint="default"/>
          <w:lang w:val="en-US" w:eastAsia="zh-CN"/>
        </w:rPr>
        <w:t>自21世纪以来，抗菌素耐药性（Antimicrobial Resistance, AMR）已成为全球公共卫生面临的最严峻挑战之一。世界卫生组织（WHO）估计，到2050年，每年将有超过1000万人死于AMR相关感染。抗药性不仅导致感染治疗难度显著增加，还带来了更高的医疗成本与住院时间，对低收入国家的公共卫生系统造成沉重负担。在众多耐药病原体中，耐药结核病（Drug-resistant Tuberculosis, DR-TB）尤为令人担忧。2022年，全球约有45万人感染利福平耐药结核病（Rifampicin-resistant Tuberculosis, RR-TB），其中大多数同时对异烟肼耐药，构成多重耐药结核病（Multidrug-resistant Tuberculosis, MDR-TB）。</w:t>
      </w:r>
    </w:p>
    <w:p w14:paraId="1112F4C3">
      <w:pPr>
        <w:rPr>
          <w:rFonts w:hint="default"/>
          <w:lang w:val="en-US" w:eastAsia="zh-CN"/>
        </w:rPr>
      </w:pPr>
    </w:p>
    <w:p w14:paraId="63EB37E5">
      <w:pPr>
        <w:rPr>
          <w:rFonts w:hint="default"/>
          <w:lang w:val="en-US" w:eastAsia="zh-CN"/>
        </w:rPr>
      </w:pPr>
      <w:r>
        <w:rPr>
          <w:rFonts w:hint="default"/>
          <w:lang w:val="en-US" w:eastAsia="zh-CN"/>
        </w:rPr>
        <w:t>抗药性的形成与传播跨越“人类–动物–环境”三重界面（One Health）。临床滥用抗生素、畜牧与水产中的药物残留，以及废水中耐药基因的扩散形成相互作用的耐药网络，需要卫生、农业与生态部门的协作应对。</w:t>
      </w:r>
    </w:p>
    <w:p w14:paraId="0D304F46">
      <w:pPr>
        <w:rPr>
          <w:rFonts w:hint="default"/>
          <w:lang w:val="en-US" w:eastAsia="zh-CN"/>
        </w:rPr>
      </w:pPr>
    </w:p>
    <w:p w14:paraId="12DA6222">
      <w:pPr>
        <w:rPr>
          <w:rFonts w:hint="default"/>
          <w:lang w:val="en-US" w:eastAsia="zh-CN"/>
        </w:rPr>
      </w:pPr>
      <w:r>
        <w:rPr>
          <w:rFonts w:hint="default"/>
          <w:lang w:val="en-US" w:eastAsia="zh-CN"/>
        </w:rPr>
        <w:t>二、典型耐药病原体及耐药机制的演化原理</w:t>
      </w:r>
    </w:p>
    <w:p w14:paraId="62D890A1">
      <w:pPr>
        <w:rPr>
          <w:rFonts w:hint="default"/>
          <w:lang w:val="en-US" w:eastAsia="zh-CN"/>
        </w:rPr>
      </w:pPr>
    </w:p>
    <w:p w14:paraId="45B69D05">
      <w:pPr>
        <w:rPr>
          <w:rFonts w:hint="default"/>
          <w:lang w:val="en-US" w:eastAsia="zh-CN"/>
        </w:rPr>
      </w:pPr>
      <w:r>
        <w:rPr>
          <w:rFonts w:hint="default"/>
          <w:lang w:val="en-US" w:eastAsia="zh-CN"/>
        </w:rPr>
        <w:t>Louis B. Rice于2008年提出“ESKAPE病原体”这一概念，用于指代六类在医院获得性感染中最具代表性的耐药菌群：Enterococcus faecium、Staphylococcus aureus、Klebsiella pneumoniae、Acinetobacter baumannii、Pseudomonas aeruginosa与Enterobacter spp。这些病原体共同特征是可通过多种机制“逃避（escape）”抗菌药物的杀伤。</w:t>
      </w:r>
    </w:p>
    <w:p w14:paraId="2F216F77">
      <w:pPr>
        <w:rPr>
          <w:rFonts w:hint="default"/>
          <w:lang w:val="en-US" w:eastAsia="zh-CN"/>
        </w:rPr>
      </w:pPr>
    </w:p>
    <w:p w14:paraId="3649D0A0">
      <w:pPr>
        <w:rPr>
          <w:rFonts w:hint="default"/>
          <w:lang w:val="en-US" w:eastAsia="zh-CN"/>
        </w:rPr>
      </w:pPr>
      <w:r>
        <w:rPr>
          <w:rFonts w:hint="default"/>
          <w:lang w:val="en-US" w:eastAsia="zh-CN"/>
        </w:rPr>
        <w:t>细菌耐药性的演化通常由以下机制驱动：</w:t>
      </w:r>
    </w:p>
    <w:p w14:paraId="47BEC934">
      <w:pPr>
        <w:numPr>
          <w:ilvl w:val="0"/>
          <w:numId w:val="1"/>
        </w:numPr>
        <w:rPr>
          <w:rFonts w:hint="default"/>
          <w:lang w:val="en-US" w:eastAsia="zh-CN"/>
        </w:rPr>
      </w:pPr>
      <w:r>
        <w:rPr>
          <w:rFonts w:hint="default"/>
          <w:lang w:val="en-US" w:eastAsia="zh-CN"/>
        </w:rPr>
        <w:t>外排泵增强：通过激活多药外排系统减少胞内药物浓度；</w:t>
      </w:r>
    </w:p>
    <w:p w14:paraId="53A9D35A">
      <w:pPr>
        <w:numPr>
          <w:ilvl w:val="0"/>
          <w:numId w:val="1"/>
        </w:numPr>
        <w:ind w:left="0" w:leftChars="0" w:firstLine="0" w:firstLineChars="0"/>
        <w:rPr>
          <w:rFonts w:hint="default"/>
          <w:lang w:val="en-US" w:eastAsia="zh-CN"/>
        </w:rPr>
      </w:pPr>
      <w:r>
        <w:rPr>
          <w:rFonts w:hint="default"/>
          <w:lang w:val="en-US" w:eastAsia="zh-CN"/>
        </w:rPr>
        <w:t>酶介导失活：例如β-内酰胺酶水解抗生素结构；</w:t>
      </w:r>
    </w:p>
    <w:p w14:paraId="62FDDD6E">
      <w:pPr>
        <w:numPr>
          <w:ilvl w:val="0"/>
          <w:numId w:val="1"/>
        </w:numPr>
        <w:ind w:left="0" w:leftChars="0" w:firstLine="0" w:firstLineChars="0"/>
        <w:rPr>
          <w:rFonts w:hint="default"/>
          <w:lang w:val="en-US" w:eastAsia="zh-CN"/>
        </w:rPr>
      </w:pPr>
      <w:r>
        <w:rPr>
          <w:rFonts w:hint="default"/>
          <w:lang w:val="en-US" w:eastAsia="zh-CN"/>
        </w:rPr>
        <w:t>水平基因转移（HGT）：通过质粒、噬菌体和转座子传播耐药基因；</w:t>
      </w:r>
    </w:p>
    <w:p w14:paraId="6E7DC1BF">
      <w:pPr>
        <w:numPr>
          <w:ilvl w:val="0"/>
          <w:numId w:val="1"/>
        </w:numPr>
        <w:ind w:left="0" w:leftChars="0" w:firstLine="0" w:firstLineChars="0"/>
        <w:rPr>
          <w:rFonts w:hint="default"/>
          <w:lang w:val="en-US" w:eastAsia="zh-CN"/>
        </w:rPr>
      </w:pPr>
      <w:r>
        <w:rPr>
          <w:rFonts w:hint="default"/>
          <w:lang w:val="en-US" w:eastAsia="zh-CN"/>
        </w:rPr>
        <w:t>生物膜形成：提供化学与免疫保护屏障。这些机制在持续的药物选择压力下可并行或叠加出现，推动多重耐药性（MDR）的进化。</w:t>
      </w:r>
    </w:p>
    <w:p w14:paraId="0A788742">
      <w:pPr>
        <w:rPr>
          <w:rFonts w:hint="default"/>
          <w:lang w:val="en-US" w:eastAsia="zh-CN"/>
        </w:rPr>
      </w:pPr>
      <w:r>
        <w:rPr>
          <w:rFonts w:hint="default"/>
          <w:lang w:val="en-US" w:eastAsia="zh-CN"/>
        </w:rPr>
        <w:t>；</w:t>
      </w:r>
    </w:p>
    <w:p w14:paraId="4B9F4535">
      <w:pPr>
        <w:numPr>
          <w:ilvl w:val="0"/>
          <w:numId w:val="1"/>
        </w:numPr>
        <w:ind w:left="0" w:leftChars="0" w:firstLine="0" w:firstLineChars="0"/>
        <w:rPr>
          <w:rFonts w:hint="default"/>
          <w:lang w:val="en-US" w:eastAsia="zh-CN"/>
        </w:rPr>
      </w:pPr>
      <w:r>
        <w:rPr>
          <w:rFonts w:hint="default"/>
          <w:lang w:val="en-US" w:eastAsia="zh-CN"/>
        </w:rPr>
        <w:t>靶点突变：药物结合位点的氨基酸替换改变其亲和力，如rpoB突变导致RIF结合障碍</w:t>
      </w:r>
    </w:p>
    <w:p w14:paraId="6854696C">
      <w:pPr>
        <w:numPr>
          <w:numId w:val="0"/>
        </w:numPr>
        <w:ind w:leftChars="0"/>
        <w:rPr>
          <w:rFonts w:hint="default"/>
          <w:lang w:val="en-US" w:eastAsia="zh-CN"/>
        </w:rPr>
      </w:pPr>
      <w:r>
        <w:rPr>
          <w:rFonts w:hint="default"/>
          <w:lang w:val="en-US" w:eastAsia="zh-CN"/>
        </w:rPr>
        <w:t>在不同抗菌药物类别中，作用于核心代谢或转录机制的药物尤为关键。</w:t>
      </w:r>
      <w:r>
        <w:rPr>
          <w:rFonts w:hint="default"/>
          <w:lang w:val="en-US" w:eastAsia="zh-CN"/>
        </w:rPr>
        <w:br w:type="textWrapping"/>
      </w:r>
      <w:r>
        <w:rPr>
          <w:rFonts w:hint="default"/>
          <w:lang w:val="en-US" w:eastAsia="zh-CN"/>
        </w:rPr>
        <w:t>例如，β-内酰胺类通过抑制细胞壁合成产生杀菌效应，氨基糖苷类干扰蛋白翻译，</w:t>
      </w:r>
      <w:r>
        <w:rPr>
          <w:rFonts w:hint="default"/>
          <w:lang w:val="en-US" w:eastAsia="zh-CN"/>
        </w:rPr>
        <w:br w:type="textWrapping"/>
      </w:r>
      <w:r>
        <w:rPr>
          <w:rFonts w:hint="default"/>
          <w:lang w:val="en-US" w:eastAsia="zh-CN"/>
        </w:rPr>
        <w:t>而利福平（Rifampicin, RIF）则直接结合细菌RNA聚合酶的β亚基（rpoB），</w:t>
      </w:r>
      <w:r>
        <w:rPr>
          <w:rFonts w:hint="default"/>
          <w:lang w:val="en-US" w:eastAsia="zh-CN"/>
        </w:rPr>
        <w:br w:type="textWrapping"/>
      </w:r>
      <w:r>
        <w:rPr>
          <w:rFonts w:hint="default"/>
          <w:lang w:val="en-US" w:eastAsia="zh-CN"/>
        </w:rPr>
        <w:t>阻断RNA链延伸，从而抑制转录与生长。</w:t>
      </w:r>
      <w:r>
        <w:rPr>
          <w:rFonts w:hint="default"/>
          <w:lang w:val="en-US" w:eastAsia="zh-CN"/>
        </w:rPr>
        <w:br w:type="textWrapping"/>
      </w:r>
      <w:r>
        <w:rPr>
          <w:rFonts w:hint="default"/>
          <w:lang w:val="en-US" w:eastAsia="zh-CN"/>
        </w:rPr>
        <w:t>由于这一靶点在原核生物中高度保守，rpoB突变的耐药机制不仅在结核分枝杆菌中普遍存在，也出现在多种临床与环境细菌中。因此，RIF耐药体系被认为是研究“靶点突变型耐药机制”的理想模型。</w:t>
      </w:r>
      <w:r>
        <w:rPr>
          <w:rFonts w:hint="eastAsia"/>
          <w:lang w:val="en-US" w:eastAsia="zh-CN"/>
        </w:rPr>
        <w:t>这也反映了反映了在相似选择压力下的功能收敛（functional convergence）。</w:t>
      </w:r>
    </w:p>
    <w:p w14:paraId="022B7713">
      <w:pPr>
        <w:rPr>
          <w:rFonts w:hint="default"/>
          <w:lang w:val="en-US" w:eastAsia="zh-CN"/>
        </w:rPr>
      </w:pPr>
    </w:p>
    <w:p w14:paraId="0CCBCF50">
      <w:pPr>
        <w:rPr>
          <w:rFonts w:hint="default"/>
          <w:lang w:val="en-US" w:eastAsia="zh-CN"/>
        </w:rPr>
      </w:pPr>
      <w:r>
        <w:rPr>
          <w:rFonts w:hint="default"/>
          <w:lang w:val="en-US" w:eastAsia="zh-CN"/>
        </w:rPr>
        <w:t>三、利福平（Rifampicin）及其药理作用机制</w:t>
      </w:r>
    </w:p>
    <w:p w14:paraId="34E8F47D">
      <w:pPr>
        <w:rPr>
          <w:rFonts w:hint="eastAsia" w:eastAsiaTheme="minorEastAsia"/>
          <w:lang w:val="en-US" w:eastAsia="zh-CN"/>
        </w:rPr>
      </w:pPr>
    </w:p>
    <w:p w14:paraId="12B5BC35">
      <w:pPr>
        <w:rPr>
          <w:rFonts w:hint="default"/>
          <w:lang w:val="en-US" w:eastAsia="zh-CN"/>
        </w:rPr>
      </w:pPr>
      <w:r>
        <w:rPr>
          <w:rFonts w:hint="default"/>
          <w:lang w:val="en-US" w:eastAsia="zh-CN"/>
        </w:rPr>
        <w:t>利福平（Rifampicin, RIF）是最重要的一线抗结核药物之一，属于利福霉素类抗生素。其药理作用机制是通过结合细菌RNA聚合酶的β亚基（由rpoB基因编码），阻断RNA链延伸，进而抑制转录过程。</w:t>
      </w:r>
    </w:p>
    <w:p w14:paraId="0FEEC647">
      <w:pPr>
        <w:rPr>
          <w:rFonts w:hint="default"/>
          <w:lang w:val="en-US" w:eastAsia="zh-CN"/>
        </w:rPr>
      </w:pPr>
    </w:p>
    <w:p w14:paraId="631B98FF">
      <w:pPr>
        <w:rPr>
          <w:rFonts w:hint="default"/>
          <w:lang w:val="en-US" w:eastAsia="zh-CN"/>
        </w:rPr>
      </w:pPr>
      <w:r>
        <w:rPr>
          <w:rFonts w:hint="default"/>
          <w:lang w:val="en-US" w:eastAsia="zh-CN"/>
        </w:rPr>
        <w:t>RIF具有优异的脂溶性，能穿透富含分枝菌酸的细胞壁，对静止状态的细菌亦具活性。然而，RIF单药耐药常被视为多重耐药结核（MDR-TB）的早期信号，因为其耐药突变往往与其他药物的抗性共同出现。MDR-TB指同时对异烟肼（INH）与利福平（RIF）耐药的结核分枝杆菌株，是当前全球结核防控中的最严重挑战之一。</w:t>
      </w:r>
    </w:p>
    <w:p w14:paraId="2D0FD506">
      <w:pPr>
        <w:rPr>
          <w:rFonts w:hint="default"/>
          <w:lang w:val="en-US" w:eastAsia="zh-CN"/>
        </w:rPr>
      </w:pPr>
      <w:r>
        <w:rPr>
          <w:rFonts w:hint="default"/>
          <w:lang w:val="en-US" w:eastAsia="zh-CN"/>
        </w:rPr>
        <w:t>由于这两种药物分别作用于细胞壁合成与RNA转录，是短程联合化疗的核心药物，</w:t>
      </w:r>
    </w:p>
    <w:p w14:paraId="5FD98AF8">
      <w:pPr>
        <w:rPr>
          <w:rFonts w:hint="default"/>
          <w:lang w:val="en-US" w:eastAsia="zh-CN"/>
        </w:rPr>
      </w:pPr>
      <w:r>
        <w:rPr>
          <w:rFonts w:hint="default"/>
          <w:lang w:val="en-US" w:eastAsia="zh-CN"/>
        </w:rPr>
        <w:t>MDR-TB的出现往往意味着治疗方案需更换为成本更高、副作用更大的二线药物。</w:t>
      </w:r>
    </w:p>
    <w:p w14:paraId="5EB61006">
      <w:pPr>
        <w:rPr>
          <w:rFonts w:hint="default"/>
          <w:lang w:val="en-US" w:eastAsia="zh-CN"/>
        </w:rPr>
      </w:pPr>
      <w:r>
        <w:rPr>
          <w:rFonts w:hint="default"/>
          <w:lang w:val="en-US" w:eastAsia="zh-CN"/>
        </w:rPr>
        <w:t>若菌株进一步对氟喹诺酮类及注射用二线药物耐药，则被定义为广泛耐药结核（XDR-TB），</w:t>
      </w:r>
    </w:p>
    <w:p w14:paraId="50CC1089">
      <w:pPr>
        <w:rPr>
          <w:rFonts w:hint="default"/>
          <w:lang w:val="en-US" w:eastAsia="zh-CN"/>
        </w:rPr>
      </w:pPr>
      <w:r>
        <w:rPr>
          <w:rFonts w:hint="default"/>
          <w:lang w:val="en-US" w:eastAsia="zh-CN"/>
        </w:rPr>
        <w:t>这类病例的治愈率通常不足60%（WHO, Global TB Report 2023）。”</w:t>
      </w:r>
    </w:p>
    <w:p w14:paraId="2224CD12">
      <w:pPr>
        <w:rPr>
          <w:rFonts w:hint="default"/>
          <w:lang w:val="en-US" w:eastAsia="zh-CN"/>
        </w:rPr>
      </w:pPr>
    </w:p>
    <w:p w14:paraId="6DEF8E9D">
      <w:pPr>
        <w:rPr>
          <w:rFonts w:hint="default"/>
          <w:lang w:val="en-US" w:eastAsia="zh-CN"/>
        </w:rPr>
      </w:pPr>
      <w:r>
        <w:rPr>
          <w:rFonts w:hint="default"/>
          <w:lang w:val="en-US" w:eastAsia="zh-CN"/>
        </w:rPr>
        <w:t>四、RIF耐药机制与rpoB突变的跨物种演化特征</w:t>
      </w:r>
    </w:p>
    <w:p w14:paraId="43753340">
      <w:pPr>
        <w:rPr>
          <w:rFonts w:hint="default"/>
          <w:lang w:val="en-US" w:eastAsia="zh-CN"/>
        </w:rPr>
      </w:pPr>
    </w:p>
    <w:p w14:paraId="60AD43D0">
      <w:pPr>
        <w:rPr>
          <w:rFonts w:hint="default"/>
          <w:lang w:val="en-US" w:eastAsia="zh-CN"/>
        </w:rPr>
      </w:pPr>
      <w:r>
        <w:rPr>
          <w:rFonts w:hint="default"/>
          <w:lang w:val="en-US" w:eastAsia="zh-CN"/>
        </w:rPr>
        <w:t>RIF通过与RNA聚合酶β亚基的“抗药性决定区”（Rifampicin Resistance-Determining Region, RRDR）结合发挥作用，</w:t>
      </w:r>
      <w:r>
        <w:rPr>
          <w:rFonts w:ascii="SimSun" w:hAnsi="SimSun" w:eastAsia="SimSun" w:cs="SimSun"/>
          <w:sz w:val="24"/>
          <w:szCs w:val="24"/>
        </w:rPr>
        <w:t xml:space="preserve">Rifampicin resistance–determining region (RRDR), spanning codons </w:t>
      </w:r>
      <w:r>
        <w:rPr>
          <w:rStyle w:val="7"/>
          <w:rFonts w:ascii="SimSun" w:hAnsi="SimSun" w:eastAsia="SimSun" w:cs="SimSun"/>
          <w:sz w:val="24"/>
          <w:szCs w:val="24"/>
        </w:rPr>
        <w:t>426–452 of rpoB</w:t>
      </w:r>
      <w:r>
        <w:rPr>
          <w:rFonts w:ascii="SimSun" w:hAnsi="SimSun" w:eastAsia="SimSun" w:cs="SimSun"/>
          <w:sz w:val="24"/>
          <w:szCs w:val="24"/>
        </w:rPr>
        <w:t xml:space="preserve"> (equivalent to residues </w:t>
      </w:r>
      <w:r>
        <w:rPr>
          <w:rStyle w:val="7"/>
          <w:rFonts w:ascii="SimSun" w:hAnsi="SimSun" w:eastAsia="SimSun" w:cs="SimSun"/>
          <w:sz w:val="24"/>
          <w:szCs w:val="24"/>
        </w:rPr>
        <w:t>507–533</w:t>
      </w:r>
      <w:r>
        <w:rPr>
          <w:rFonts w:ascii="SimSun" w:hAnsi="SimSun" w:eastAsia="SimSun" w:cs="SimSun"/>
          <w:sz w:val="24"/>
          <w:szCs w:val="24"/>
        </w:rPr>
        <w:t xml:space="preserve"> in </w:t>
      </w:r>
      <w:r>
        <w:rPr>
          <w:rStyle w:val="8"/>
          <w:rFonts w:ascii="SimSun" w:hAnsi="SimSun" w:eastAsia="SimSun" w:cs="SimSun"/>
          <w:sz w:val="24"/>
          <w:szCs w:val="24"/>
        </w:rPr>
        <w:t>E. coli</w:t>
      </w:r>
      <w:r>
        <w:rPr>
          <w:rFonts w:ascii="SimSun" w:hAnsi="SimSun" w:eastAsia="SimSun" w:cs="SimSun"/>
          <w:sz w:val="24"/>
          <w:szCs w:val="24"/>
        </w:rPr>
        <w:t xml:space="preserve"> numbering</w:t>
      </w:r>
      <w:r>
        <w:rPr>
          <w:rFonts w:hint="eastAsia" w:ascii="SimSun" w:hAnsi="SimSun" w:eastAsia="SimSun" w:cs="SimSun"/>
          <w:sz w:val="24"/>
          <w:szCs w:val="24"/>
          <w:lang w:eastAsia="zh-CN"/>
        </w:rPr>
        <w:t>。</w:t>
      </w:r>
      <w:r>
        <w:rPr>
          <w:rFonts w:hint="default"/>
          <w:lang w:val="en-US" w:eastAsia="zh-CN"/>
        </w:rPr>
        <w:t>该区域在结核分枝杆菌中对应RpoB蛋白的426–452号氨基酸残基。典型突变如S450L、H445Y与D435V等</w:t>
      </w:r>
      <w:r>
        <w:rPr>
          <w:rFonts w:hint="eastAsia"/>
          <w:lang w:val="en-US" w:eastAsia="zh-CN"/>
        </w:rPr>
        <w:t>，其中</w:t>
      </w:r>
      <w:r>
        <w:rPr>
          <w:rFonts w:hint="default"/>
          <w:lang w:val="en-US" w:eastAsia="zh-CN"/>
        </w:rPr>
        <w:t>S450L</w:t>
      </w:r>
      <w:r>
        <w:rPr>
          <w:rFonts w:hint="eastAsia"/>
          <w:lang w:val="en-US" w:eastAsia="zh-CN"/>
        </w:rPr>
        <w:t>显著降低RIF结合力</w:t>
      </w:r>
      <w:r>
        <w:rPr>
          <w:rFonts w:hint="default"/>
          <w:lang w:val="en-US" w:eastAsia="zh-CN"/>
        </w:rPr>
        <w:t>，H445Y显著降低其结合亲和力，</w:t>
      </w:r>
      <w:r>
        <w:rPr>
          <w:rFonts w:hint="eastAsia"/>
          <w:lang w:val="en-US" w:eastAsia="zh-CN"/>
        </w:rPr>
        <w:t>而</w:t>
      </w:r>
      <w:r>
        <w:rPr>
          <w:rFonts w:ascii="SimSun" w:hAnsi="SimSun" w:eastAsia="SimSun" w:cs="SimSun"/>
          <w:sz w:val="24"/>
          <w:szCs w:val="24"/>
        </w:rPr>
        <w:t>D435V</w:t>
      </w:r>
      <w:r>
        <w:rPr>
          <w:rFonts w:hint="eastAsia" w:ascii="SimSun" w:hAnsi="SimSun" w:eastAsia="SimSun" w:cs="SimSun"/>
          <w:sz w:val="24"/>
          <w:szCs w:val="24"/>
          <w:lang w:val="en-US" w:eastAsia="zh-CN"/>
        </w:rPr>
        <w:t>会干扰药物进入其通道</w:t>
      </w:r>
      <w:r>
        <w:rPr>
          <w:rFonts w:hint="default"/>
          <w:lang w:val="en-US" w:eastAsia="zh-CN"/>
        </w:rPr>
        <w:t>从而导致耐药性。约90–95%的RIF耐药菌株的突变位于RRDR内，因此该区域被视为RIF耐药性的分子“指纹”。</w:t>
      </w:r>
    </w:p>
    <w:p w14:paraId="0C112B96">
      <w:pPr>
        <w:rPr>
          <w:rFonts w:hint="default"/>
          <w:lang w:val="en-US" w:eastAsia="zh-CN"/>
        </w:rPr>
      </w:pPr>
    </w:p>
    <w:p w14:paraId="193F8648">
      <w:pPr>
        <w:rPr>
          <w:rFonts w:hint="default"/>
          <w:lang w:val="en-US" w:eastAsia="zh-CN"/>
        </w:rPr>
      </w:pPr>
      <w:r>
        <w:rPr>
          <w:rFonts w:hint="default"/>
          <w:lang w:val="en-US" w:eastAsia="zh-CN"/>
        </w:rPr>
        <w:t>在其他细菌中（如E. coli、Pseudomonas aeruginosa、Staphylococcus aureus），也观察到功能相似的rpoB突变，提示RIF耐药的演化具有“趋同进化（convergent evolution）”特征。对这些跨物种突变模式进行系统分析，有助于揭示抗药性形成的普适规律。</w:t>
      </w:r>
    </w:p>
    <w:p w14:paraId="63D84B2A">
      <w:pPr>
        <w:rPr>
          <w:rFonts w:hint="default"/>
          <w:lang w:val="en-US" w:eastAsia="zh-CN"/>
        </w:rPr>
      </w:pPr>
    </w:p>
    <w:p w14:paraId="777A5BDA">
      <w:pPr>
        <w:rPr>
          <w:rFonts w:hint="default"/>
          <w:lang w:val="en-US" w:eastAsia="zh-CN"/>
        </w:rPr>
      </w:pPr>
      <w:r>
        <w:rPr>
          <w:rFonts w:hint="default"/>
          <w:lang w:val="en-US" w:eastAsia="zh-CN"/>
        </w:rPr>
        <w:t>五、机器学习在抗药性研究中的崛起与代表性应用</w:t>
      </w:r>
    </w:p>
    <w:p w14:paraId="6CFB23BA">
      <w:pPr>
        <w:rPr>
          <w:rFonts w:hint="default"/>
          <w:lang w:val="en-US" w:eastAsia="zh-CN"/>
        </w:rPr>
      </w:pPr>
    </w:p>
    <w:p w14:paraId="21F4F738">
      <w:pPr>
        <w:rPr>
          <w:rFonts w:hint="default"/>
          <w:lang w:val="en-US" w:eastAsia="zh-CN"/>
        </w:rPr>
      </w:pPr>
      <w:r>
        <w:rPr>
          <w:rFonts w:hint="default"/>
          <w:lang w:val="en-US" w:eastAsia="zh-CN"/>
        </w:rPr>
        <w:t>传统抗药性研究依赖表型药敏试验或有限基因检测，难以捕捉多基因、多通路的复杂耐药机制。随着大规模基因组测序与多组学数据的积累，机器学习（Machine Learning, ML）成为刻画高维基因型–表型关系的关键工具。</w:t>
      </w:r>
    </w:p>
    <w:p w14:paraId="1CCEEAEE">
      <w:pPr>
        <w:rPr>
          <w:rFonts w:hint="default"/>
          <w:lang w:val="en-US" w:eastAsia="zh-CN"/>
        </w:rPr>
      </w:pPr>
    </w:p>
    <w:p w14:paraId="69D7FC20">
      <w:pPr>
        <w:rPr>
          <w:rFonts w:hint="default"/>
          <w:lang w:val="en-US" w:eastAsia="zh-CN"/>
        </w:rPr>
      </w:pPr>
      <w:r>
        <w:rPr>
          <w:rFonts w:hint="default"/>
          <w:lang w:val="en-US" w:eastAsia="zh-CN"/>
        </w:rPr>
        <w:t>多项研究已验证其有效性。例如：</w:t>
      </w:r>
    </w:p>
    <w:p w14:paraId="6E8B28CF">
      <w:pPr>
        <w:rPr>
          <w:rFonts w:hint="default"/>
          <w:lang w:val="en-US" w:eastAsia="zh-CN"/>
        </w:rPr>
      </w:pPr>
      <w:r>
        <w:rPr>
          <w:rFonts w:hint="default"/>
          <w:lang w:val="en-US" w:eastAsia="zh-CN"/>
        </w:rPr>
        <w:t>Yang等人（2024, PLOS Computational Biology）利用XGBoost回归，在超过10,000株结核分枝杆菌的基因组上预测药物MIC值；</w:t>
      </w:r>
    </w:p>
    <w:p w14:paraId="026B8C97">
      <w:pPr>
        <w:rPr>
          <w:rFonts w:hint="default"/>
          <w:lang w:val="en-US" w:eastAsia="zh-CN"/>
        </w:rPr>
      </w:pPr>
      <w:r>
        <w:rPr>
          <w:rFonts w:hint="default"/>
          <w:lang w:val="en-US" w:eastAsia="zh-CN"/>
        </w:rPr>
        <w:t>Walker等人（2022, Nature Communications）采用随机森林预测13种抗结核药物的耐药性并分析突变特征；</w:t>
      </w:r>
    </w:p>
    <w:p w14:paraId="0907D260">
      <w:pPr>
        <w:rPr>
          <w:rFonts w:hint="default"/>
          <w:lang w:val="en-US" w:eastAsia="zh-CN"/>
        </w:rPr>
      </w:pPr>
      <w:r>
        <w:rPr>
          <w:rFonts w:hint="default"/>
          <w:lang w:val="en-US" w:eastAsia="zh-CN"/>
        </w:rPr>
        <w:t>Davis等人（2019, Nature Communications）使用梯度提升模型实现E. coli与Klebsiella间的耐药泛化；</w:t>
      </w:r>
    </w:p>
    <w:p w14:paraId="444F0675">
      <w:pPr>
        <w:rPr>
          <w:rFonts w:hint="default"/>
          <w:lang w:val="en-US" w:eastAsia="zh-CN"/>
        </w:rPr>
      </w:pPr>
      <w:r>
        <w:rPr>
          <w:rFonts w:hint="default"/>
          <w:lang w:val="en-US" w:eastAsia="zh-CN"/>
        </w:rPr>
        <w:t>Arango-Argoty等人（2018, Nucleic Acids Research）提出DeepARG模型识别宏基因组中的潜在耐药基因；</w:t>
      </w:r>
    </w:p>
    <w:p w14:paraId="2295212B">
      <w:pPr>
        <w:rPr>
          <w:rFonts w:hint="default"/>
          <w:lang w:val="en-US" w:eastAsia="zh-CN"/>
        </w:rPr>
      </w:pPr>
      <w:r>
        <w:rPr>
          <w:rFonts w:hint="default"/>
          <w:lang w:val="en-US" w:eastAsia="zh-CN"/>
        </w:rPr>
        <w:t>Moradigaravand等人（2018, mBio）通过Lasso逻辑回归预测金黄色葡萄球菌的β-内酰胺与MRSA耐药性。</w:t>
      </w:r>
    </w:p>
    <w:p w14:paraId="4A650859">
      <w:pPr>
        <w:rPr>
          <w:rFonts w:hint="default"/>
          <w:lang w:val="en-US" w:eastAsia="zh-CN"/>
        </w:rPr>
      </w:pPr>
    </w:p>
    <w:p w14:paraId="697B4153">
      <w:pPr>
        <w:rPr>
          <w:rFonts w:hint="default"/>
          <w:lang w:val="en-US" w:eastAsia="zh-CN"/>
        </w:rPr>
      </w:pPr>
      <w:r>
        <w:rPr>
          <w:rFonts w:hint="default"/>
          <w:lang w:val="en-US" w:eastAsia="zh-CN"/>
        </w:rPr>
        <w:t>这些研究证明，ML模型不仅能高效预测已知耐药性，还能识别潜在的新型突变特征。然而，现有模型多局限于单一物种或固定药物类别，缺乏跨物种的系统预测框架。</w:t>
      </w:r>
    </w:p>
    <w:p w14:paraId="3E50B51C">
      <w:pPr>
        <w:rPr>
          <w:rFonts w:hint="default"/>
          <w:lang w:val="en-US" w:eastAsia="zh-CN"/>
        </w:rPr>
      </w:pPr>
    </w:p>
    <w:p w14:paraId="4BCB22FC">
      <w:pPr>
        <w:rPr>
          <w:rFonts w:hint="default"/>
          <w:lang w:val="en-US" w:eastAsia="zh-CN"/>
        </w:rPr>
      </w:pPr>
      <w:r>
        <w:rPr>
          <w:rFonts w:hint="default"/>
          <w:lang w:val="en-US" w:eastAsia="zh-CN"/>
        </w:rPr>
        <w:t>六、本研究的创新点与目标</w:t>
      </w:r>
    </w:p>
    <w:p w14:paraId="78256502">
      <w:pPr>
        <w:rPr>
          <w:rFonts w:hint="default"/>
          <w:lang w:val="en-US" w:eastAsia="zh-CN"/>
        </w:rPr>
      </w:pPr>
    </w:p>
    <w:p w14:paraId="03671D8A">
      <w:pPr>
        <w:rPr>
          <w:rFonts w:hint="default"/>
          <w:lang w:val="en-US" w:eastAsia="zh-CN"/>
        </w:rPr>
      </w:pPr>
      <w:r>
        <w:rPr>
          <w:rFonts w:hint="default"/>
          <w:lang w:val="en-US" w:eastAsia="zh-CN"/>
        </w:rPr>
        <w:t>本研究旨在构建一个跨物种的RIF抗药突变预测框架，整合多层次机器学习方法：</w:t>
      </w:r>
    </w:p>
    <w:p w14:paraId="04300C89">
      <w:pPr>
        <w:rPr>
          <w:rFonts w:hint="default"/>
          <w:lang w:val="en-US" w:eastAsia="zh-CN"/>
        </w:rPr>
      </w:pPr>
      <w:r>
        <w:rPr>
          <w:rFonts w:hint="default"/>
          <w:lang w:val="en-US" w:eastAsia="zh-CN"/>
        </w:rPr>
        <w:t>（1）使用Sentence-BERT与SciBERT模型，对文献数据进行自动语义筛选与突变证据提取；</w:t>
      </w:r>
    </w:p>
    <w:p w14:paraId="4AFB3720">
      <w:pPr>
        <w:rPr>
          <w:rFonts w:hint="default"/>
          <w:lang w:val="en-US" w:eastAsia="zh-CN"/>
        </w:rPr>
      </w:pPr>
      <w:r>
        <w:rPr>
          <w:rFonts w:hint="default"/>
          <w:lang w:val="en-US" w:eastAsia="zh-CN"/>
        </w:rPr>
        <w:t>（2）采用无监督聚类（UMAP + HDBSCAN/GMM）探索RIF耐药突变在不同菌种间的分布模式；</w:t>
      </w:r>
    </w:p>
    <w:p w14:paraId="11187ADB">
      <w:pPr>
        <w:rPr>
          <w:rFonts w:hint="default"/>
          <w:lang w:val="en-US" w:eastAsia="zh-CN"/>
        </w:rPr>
      </w:pPr>
      <w:r>
        <w:rPr>
          <w:rFonts w:hint="default"/>
          <w:lang w:val="en-US" w:eastAsia="zh-CN"/>
        </w:rPr>
        <w:t>（3）通过半监督正负不平衡学习（PU Learning）结合随机森林（Random Forest），预测潜在RIF耐药突变。</w:t>
      </w:r>
    </w:p>
    <w:p w14:paraId="1A203430">
      <w:pPr>
        <w:rPr>
          <w:rFonts w:hint="default"/>
          <w:lang w:val="en-US" w:eastAsia="zh-CN"/>
        </w:rPr>
      </w:pPr>
      <w:r>
        <w:rPr>
          <w:rFonts w:hint="default"/>
          <w:lang w:val="en-US" w:eastAsia="zh-CN"/>
        </w:rPr>
        <w:t>在实际的生物信息与医学研究中，研究者往往只能获取部分已确认的“正例”，而缺乏系统性的“负例”信息。</w:t>
      </w:r>
    </w:p>
    <w:p w14:paraId="27338AD1">
      <w:pPr>
        <w:rPr>
          <w:rFonts w:hint="default"/>
          <w:lang w:val="en-US" w:eastAsia="zh-CN"/>
        </w:rPr>
      </w:pPr>
      <w:r>
        <w:rPr>
          <w:rFonts w:hint="default"/>
          <w:lang w:val="en-US" w:eastAsia="zh-CN"/>
        </w:rPr>
        <w:t>传统的监督学习依赖明确的正负样本划分，因此难以直接适用于此类问题。</w:t>
      </w:r>
    </w:p>
    <w:p w14:paraId="5EC32A6A">
      <w:pPr>
        <w:rPr>
          <w:rFonts w:hint="default"/>
          <w:lang w:val="en-US" w:eastAsia="zh-CN"/>
        </w:rPr>
      </w:pPr>
      <w:r>
        <w:rPr>
          <w:rFonts w:hint="default"/>
          <w:lang w:val="en-US" w:eastAsia="zh-CN"/>
        </w:rPr>
        <w:t>正例–未标注学习（Positive–Unlabeled Learning, PU Learning）提供了一种自然的解决方案，</w:t>
      </w:r>
    </w:p>
    <w:p w14:paraId="13E71C9B">
      <w:pPr>
        <w:rPr>
          <w:rFonts w:hint="default"/>
          <w:lang w:val="en-US" w:eastAsia="zh-CN"/>
        </w:rPr>
      </w:pPr>
      <w:r>
        <w:rPr>
          <w:rFonts w:hint="default"/>
          <w:lang w:val="en-US" w:eastAsia="zh-CN"/>
        </w:rPr>
        <w:t>它通过同时利用“已知正例”和“大量未标注样本”进行建模，估计其中潜在的负例或未知正例分布，</w:t>
      </w:r>
    </w:p>
    <w:p w14:paraId="50E48D1E">
      <w:pPr>
        <w:rPr>
          <w:rFonts w:hint="default"/>
          <w:lang w:val="en-US" w:eastAsia="zh-CN"/>
        </w:rPr>
      </w:pPr>
      <w:r>
        <w:rPr>
          <w:rFonts w:hint="default"/>
          <w:lang w:val="en-US" w:eastAsia="zh-CN"/>
        </w:rPr>
        <w:t>从而在缺乏负样本标注的条件下实现可靠的分类或排序。</w:t>
      </w:r>
    </w:p>
    <w:p w14:paraId="060DE298">
      <w:pPr>
        <w:rPr>
          <w:rFonts w:hint="default"/>
          <w:lang w:val="en-US" w:eastAsia="zh-CN"/>
        </w:rPr>
      </w:pPr>
    </w:p>
    <w:p w14:paraId="0AF77C91">
      <w:pPr>
        <w:rPr>
          <w:rFonts w:hint="default"/>
          <w:lang w:val="en-US" w:eastAsia="zh-CN"/>
        </w:rPr>
      </w:pPr>
      <w:r>
        <w:rPr>
          <w:rFonts w:hint="default"/>
          <w:lang w:val="en-US" w:eastAsia="zh-CN"/>
        </w:rPr>
        <w:t>PU Learning 最初广泛应用于文本检索与网页分类任务（Elkan &amp; Noto, 2008），</w:t>
      </w:r>
    </w:p>
    <w:p w14:paraId="22C324DF">
      <w:pPr>
        <w:rPr>
          <w:rFonts w:hint="default"/>
          <w:lang w:val="en-US" w:eastAsia="zh-CN"/>
        </w:rPr>
      </w:pPr>
      <w:r>
        <w:rPr>
          <w:rFonts w:hint="default"/>
          <w:lang w:val="en-US" w:eastAsia="zh-CN"/>
        </w:rPr>
        <w:t>在这些任务中，系统只记录“被点击的网页”作为正例，而未点击的网页并不等于不相关。</w:t>
      </w:r>
    </w:p>
    <w:p w14:paraId="3CBEB549">
      <w:pPr>
        <w:rPr>
          <w:rFonts w:hint="default"/>
          <w:lang w:val="en-US" w:eastAsia="zh-CN"/>
        </w:rPr>
      </w:pPr>
      <w:r>
        <w:rPr>
          <w:rFonts w:hint="default"/>
          <w:lang w:val="en-US" w:eastAsia="zh-CN"/>
        </w:rPr>
        <w:t>随后，该框架被拓展至推荐系统的隐式反馈学习（Hu et al., 2008），</w:t>
      </w:r>
    </w:p>
    <w:p w14:paraId="273BE047">
      <w:pPr>
        <w:rPr>
          <w:rFonts w:hint="default"/>
          <w:lang w:val="en-US" w:eastAsia="zh-CN"/>
        </w:rPr>
      </w:pPr>
      <w:r>
        <w:rPr>
          <w:rFonts w:hint="default"/>
          <w:lang w:val="en-US" w:eastAsia="zh-CN"/>
        </w:rPr>
        <w:t>仅凭“用户看过或购买过的物品”建立偏正例学习模型。</w:t>
      </w:r>
    </w:p>
    <w:p w14:paraId="23962459">
      <w:pPr>
        <w:rPr>
          <w:rFonts w:hint="default"/>
          <w:lang w:val="en-US" w:eastAsia="zh-CN"/>
        </w:rPr>
      </w:pPr>
      <w:r>
        <w:rPr>
          <w:rFonts w:hint="default"/>
          <w:lang w:val="en-US" w:eastAsia="zh-CN"/>
        </w:rPr>
        <w:t>在生态学的物种分布建模中（Phillips et al., 2006），</w:t>
      </w:r>
    </w:p>
    <w:p w14:paraId="047EFDF1">
      <w:pPr>
        <w:rPr>
          <w:rFonts w:hint="default"/>
          <w:lang w:val="en-US" w:eastAsia="zh-CN"/>
        </w:rPr>
      </w:pPr>
      <w:r>
        <w:rPr>
          <w:rFonts w:hint="default"/>
          <w:lang w:val="en-US" w:eastAsia="zh-CN"/>
        </w:rPr>
        <w:t>研究者也仅掌握“物种被观测到的存在点”，并使用类似PU逻辑的MaxEnt方法进行预测。</w:t>
      </w:r>
    </w:p>
    <w:p w14:paraId="025D2AF6">
      <w:pPr>
        <w:rPr>
          <w:rFonts w:hint="default"/>
          <w:lang w:val="en-US" w:eastAsia="zh-CN"/>
        </w:rPr>
      </w:pPr>
      <w:r>
        <w:rPr>
          <w:rFonts w:hint="default"/>
          <w:lang w:val="en-US" w:eastAsia="zh-CN"/>
        </w:rPr>
        <w:t>近年来，PU Learning 在生物信息学与医学领域的应用尤为广泛，</w:t>
      </w:r>
    </w:p>
    <w:p w14:paraId="0EF1632D">
      <w:pPr>
        <w:rPr>
          <w:rFonts w:hint="default"/>
          <w:lang w:val="en-US" w:eastAsia="zh-CN"/>
        </w:rPr>
      </w:pPr>
      <w:r>
        <w:rPr>
          <w:rFonts w:hint="default"/>
          <w:lang w:val="en-US" w:eastAsia="zh-CN"/>
        </w:rPr>
        <w:t>包括疾病基因优先级排序（Yang et al., 2020）、基因功能预测、蛋白相互作用发现等任务，</w:t>
      </w:r>
    </w:p>
    <w:p w14:paraId="4ACD20EF">
      <w:pPr>
        <w:rPr>
          <w:rFonts w:hint="default"/>
          <w:lang w:val="en-US" w:eastAsia="zh-CN"/>
        </w:rPr>
      </w:pPr>
      <w:r>
        <w:rPr>
          <w:rFonts w:hint="default"/>
          <w:lang w:val="en-US" w:eastAsia="zh-CN"/>
        </w:rPr>
        <w:t>其核心思想是：已知致病基因为正例，其余未标注基因不等同于无关或阴性样本。</w:t>
      </w:r>
    </w:p>
    <w:p w14:paraId="69316C29">
      <w:pPr>
        <w:rPr>
          <w:rFonts w:hint="default"/>
          <w:lang w:val="en-US" w:eastAsia="zh-CN"/>
        </w:rPr>
      </w:pPr>
    </w:p>
    <w:p w14:paraId="2C3533EF">
      <w:pPr>
        <w:rPr>
          <w:rFonts w:hint="default"/>
          <w:lang w:val="en-US" w:eastAsia="zh-CN"/>
        </w:rPr>
      </w:pPr>
      <w:r>
        <w:rPr>
          <w:rFonts w:hint="default"/>
          <w:lang w:val="en-US" w:eastAsia="zh-CN"/>
        </w:rPr>
        <w:t>在本研究中，这一思路被自然地引入至抗药性突变预测任务中。</w:t>
      </w:r>
    </w:p>
    <w:p w14:paraId="6115001F">
      <w:pPr>
        <w:rPr>
          <w:rFonts w:hint="default"/>
          <w:lang w:val="en-US" w:eastAsia="zh-CN"/>
        </w:rPr>
      </w:pPr>
      <w:r>
        <w:rPr>
          <w:rFonts w:hint="default"/>
          <w:lang w:val="en-US" w:eastAsia="zh-CN"/>
        </w:rPr>
        <w:t>已报道的耐药突变可视为“正例”，而其余未研究突变则属于“未标注样本”。</w:t>
      </w:r>
    </w:p>
    <w:p w14:paraId="2FD48535">
      <w:pPr>
        <w:rPr>
          <w:rFonts w:hint="default"/>
          <w:lang w:val="en-US" w:eastAsia="zh-CN"/>
        </w:rPr>
      </w:pPr>
      <w:r>
        <w:rPr>
          <w:rFonts w:hint="default"/>
          <w:lang w:val="en-US" w:eastAsia="zh-CN"/>
        </w:rPr>
        <w:t>由于真实的“非耐药突变”信息极度稀缺，</w:t>
      </w:r>
    </w:p>
    <w:p w14:paraId="798E1DB1">
      <w:pPr>
        <w:rPr>
          <w:rFonts w:hint="default"/>
          <w:lang w:val="en-US" w:eastAsia="zh-CN"/>
        </w:rPr>
      </w:pPr>
      <w:r>
        <w:rPr>
          <w:rFonts w:hint="default"/>
          <w:lang w:val="en-US" w:eastAsia="zh-CN"/>
        </w:rPr>
        <w:t>采用PU Learning结合随机森林（Random Forest）可在不依赖人工负例的情况下，</w:t>
      </w:r>
    </w:p>
    <w:p w14:paraId="35D1E622">
      <w:pPr>
        <w:rPr>
          <w:rFonts w:hint="default"/>
          <w:lang w:val="en-US" w:eastAsia="zh-CN"/>
        </w:rPr>
      </w:pPr>
      <w:r>
        <w:rPr>
          <w:rFonts w:hint="default"/>
          <w:lang w:val="en-US" w:eastAsia="zh-CN"/>
        </w:rPr>
        <w:t>评估各突变产生抗药性的可能性并进行候选优先级排序。</w:t>
      </w:r>
    </w:p>
    <w:p w14:paraId="70DCEBA1">
      <w:pPr>
        <w:rPr>
          <w:rFonts w:hint="default"/>
          <w:lang w:val="en-US" w:eastAsia="zh-CN"/>
        </w:rPr>
      </w:pPr>
      <w:r>
        <w:rPr>
          <w:rFonts w:hint="default"/>
          <w:lang w:val="en-US" w:eastAsia="zh-CN"/>
        </w:rPr>
        <w:t>这一方法为探索未验证突变的潜在功能效应提供了一种可推广的新思路。</w:t>
      </w:r>
    </w:p>
    <w:p w14:paraId="21FDC552">
      <w:pPr>
        <w:rPr>
          <w:rFonts w:hint="default"/>
          <w:lang w:val="en-US" w:eastAsia="zh-CN"/>
        </w:rPr>
      </w:pPr>
      <w:r>
        <w:rPr>
          <w:rFonts w:hint="default"/>
          <w:lang w:val="en-US" w:eastAsia="zh-CN"/>
        </w:rPr>
        <w:t>该研究的创新点在于将自然语言处理与基因组聚类、机器学习预测相结合，实现从文献知识到基因变异再到新突变预测的多层信息融合。研究结果有望揭示RIF耐药突变的跨物种演化规律，并为新型抗药性监测、耐药诊断及药物设计提供数据支撑。</w:t>
      </w:r>
    </w:p>
    <w:p w14:paraId="12829847">
      <w:pPr>
        <w:rPr>
          <w:rFonts w:hint="default"/>
          <w:lang w:val="en-US" w:eastAsia="zh-CN"/>
        </w:rPr>
      </w:pPr>
    </w:p>
    <w:p w14:paraId="61337C3B">
      <w:pPr>
        <w:rPr>
          <w:rFonts w:hint="default"/>
          <w:lang w:val="en-US" w:eastAsia="zh-CN"/>
        </w:rPr>
      </w:pPr>
      <w:r>
        <w:rPr>
          <w:rFonts w:hint="default"/>
          <w:lang w:val="en-US" w:eastAsia="zh-CN"/>
        </w:rPr>
        <w:t>参考文献（部分）</w:t>
      </w:r>
    </w:p>
    <w:p w14:paraId="3BBB3B9A">
      <w:pPr>
        <w:rPr>
          <w:rFonts w:hint="default"/>
          <w:lang w:val="en-US" w:eastAsia="zh-CN"/>
        </w:rPr>
      </w:pPr>
    </w:p>
    <w:p w14:paraId="64C9AA1E">
      <w:pPr>
        <w:rPr>
          <w:rFonts w:hint="default"/>
          <w:lang w:val="en-US" w:eastAsia="zh-CN"/>
        </w:rPr>
      </w:pPr>
      <w:r>
        <w:rPr>
          <w:rFonts w:hint="default"/>
          <w:lang w:val="en-US" w:eastAsia="zh-CN"/>
        </w:rPr>
        <w:t>Yang J. et al. (2024). Quantitative drug susceptibility testing for Mycobacterium tuberculosis using unassembled sequencing data and machine learning. PLOS Computational Biology, 20(6), e1012260.</w:t>
      </w:r>
    </w:p>
    <w:p w14:paraId="63125D3A">
      <w:pPr>
        <w:rPr>
          <w:rFonts w:hint="default"/>
          <w:lang w:val="en-US" w:eastAsia="zh-CN"/>
        </w:rPr>
      </w:pPr>
    </w:p>
    <w:p w14:paraId="3D321F1B">
      <w:pPr>
        <w:rPr>
          <w:rFonts w:hint="default"/>
          <w:lang w:val="en-US" w:eastAsia="zh-CN"/>
        </w:rPr>
      </w:pPr>
      <w:r>
        <w:rPr>
          <w:rFonts w:hint="default"/>
          <w:lang w:val="en-US" w:eastAsia="zh-CN"/>
        </w:rPr>
        <w:t>Walker T. M. et al. (2022). Prediction of Mycobacterium tuberculosis antibiotic resistance from whole genome sequencing: an interpretable machine learning approach. Nature Communications, 13, 3078.</w:t>
      </w:r>
    </w:p>
    <w:p w14:paraId="3788A34F">
      <w:pPr>
        <w:rPr>
          <w:rFonts w:hint="default"/>
          <w:lang w:val="en-US" w:eastAsia="zh-CN"/>
        </w:rPr>
      </w:pPr>
    </w:p>
    <w:p w14:paraId="30A7220C">
      <w:pPr>
        <w:rPr>
          <w:rFonts w:hint="default"/>
          <w:lang w:val="en-US" w:eastAsia="zh-CN"/>
        </w:rPr>
      </w:pPr>
      <w:r>
        <w:rPr>
          <w:rFonts w:hint="default"/>
          <w:lang w:val="en-US" w:eastAsia="zh-CN"/>
        </w:rPr>
        <w:t>Davis J. J. et al. (2019). Antimicrobial resistance prediction in PATRIC and RAST using curated genome annotation and machine learning. Nature Communications, 10, 5182.</w:t>
      </w:r>
    </w:p>
    <w:p w14:paraId="48C7913C">
      <w:pPr>
        <w:rPr>
          <w:rFonts w:hint="default"/>
          <w:lang w:val="en-US" w:eastAsia="zh-CN"/>
        </w:rPr>
      </w:pPr>
    </w:p>
    <w:p w14:paraId="69CB8F02">
      <w:pPr>
        <w:rPr>
          <w:rFonts w:hint="default"/>
          <w:lang w:val="en-US" w:eastAsia="zh-CN"/>
        </w:rPr>
      </w:pPr>
      <w:r>
        <w:rPr>
          <w:rFonts w:hint="default"/>
          <w:lang w:val="en-US" w:eastAsia="zh-CN"/>
        </w:rPr>
        <w:t>Arango-Argoty G. A. et al. (2018). DeepARG: a deep learning approach for predicting antibiotic resistance genes from metagenomic data. Nucleic Acids Research, 46(9), 5549–5560.</w:t>
      </w:r>
    </w:p>
    <w:p w14:paraId="1A844AD3">
      <w:pPr>
        <w:rPr>
          <w:rFonts w:hint="default"/>
          <w:lang w:val="en-US" w:eastAsia="zh-CN"/>
        </w:rPr>
      </w:pPr>
    </w:p>
    <w:p w14:paraId="342235B8">
      <w:pPr>
        <w:rPr>
          <w:rFonts w:hint="default"/>
          <w:lang w:val="en-US" w:eastAsia="zh-CN"/>
        </w:rPr>
      </w:pPr>
      <w:r>
        <w:rPr>
          <w:rFonts w:hint="default"/>
          <w:lang w:val="en-US" w:eastAsia="zh-CN"/>
        </w:rPr>
        <w:t>Moradigaravand D. et al. (2018). Prediction of antibiotic resistance in Escherichia coli from large-scale pan-genome data using machine learning. mBio, 9(3), e02118-17.</w:t>
      </w:r>
    </w:p>
    <w:p w14:paraId="214F0242">
      <w:pPr>
        <w:rPr>
          <w:rFonts w:hint="default"/>
          <w:lang w:val="en-US" w:eastAsia="zh-CN"/>
        </w:rPr>
      </w:pPr>
    </w:p>
    <w:p w14:paraId="4E0092B6">
      <w:pPr>
        <w:rPr>
          <w:rFonts w:hint="default"/>
          <w:lang w:val="en-US" w:eastAsia="zh-CN"/>
        </w:rPr>
      </w:pPr>
      <w:bookmarkStart w:id="0" w:name="_GoBack"/>
      <w:bookmarkEnd w:id="0"/>
      <w:r>
        <w:rPr>
          <w:rFonts w:hint="default"/>
          <w:lang w:val="en-US" w:eastAsia="zh-CN"/>
        </w:rPr>
        <w:t>Elkan, C., &amp; Noto, K. (2008). Learning classifiers from only positive and unlabeled data. SIGKDD.</w:t>
      </w:r>
    </w:p>
    <w:p w14:paraId="2557D4E1">
      <w:pPr>
        <w:rPr>
          <w:rFonts w:hint="default"/>
          <w:lang w:val="en-US" w:eastAsia="zh-CN"/>
        </w:rPr>
      </w:pPr>
    </w:p>
    <w:p w14:paraId="038978B3">
      <w:pPr>
        <w:rPr>
          <w:rFonts w:hint="default"/>
          <w:lang w:val="en-US" w:eastAsia="zh-CN"/>
        </w:rPr>
      </w:pPr>
      <w:r>
        <w:rPr>
          <w:rFonts w:hint="default"/>
          <w:lang w:val="en-US" w:eastAsia="zh-CN"/>
        </w:rPr>
        <w:t>Hu, Y., Koren, Y., &amp; Volinsky, C. (2008). Collaborative filtering for implicit feedback datasets. ICDM.</w:t>
      </w:r>
    </w:p>
    <w:p w14:paraId="48D7E685">
      <w:pPr>
        <w:rPr>
          <w:rFonts w:hint="default"/>
          <w:lang w:val="en-US" w:eastAsia="zh-CN"/>
        </w:rPr>
      </w:pPr>
    </w:p>
    <w:p w14:paraId="5F19362E">
      <w:pPr>
        <w:rPr>
          <w:rFonts w:hint="default"/>
          <w:lang w:val="en-US" w:eastAsia="zh-CN"/>
        </w:rPr>
      </w:pPr>
      <w:r>
        <w:rPr>
          <w:rFonts w:hint="default"/>
          <w:lang w:val="en-US" w:eastAsia="zh-CN"/>
        </w:rPr>
        <w:t>Phillips, S. J., Anderson, R. P., &amp; Schapire, R. E. (2006). Maximum entropy modeling of species geographic distributions. Ecological Modelling.</w:t>
      </w:r>
    </w:p>
    <w:p w14:paraId="06EE50D1">
      <w:pPr>
        <w:rPr>
          <w:rFonts w:hint="default"/>
          <w:lang w:val="en-US" w:eastAsia="zh-CN"/>
        </w:rPr>
      </w:pPr>
    </w:p>
    <w:p w14:paraId="71B26B68">
      <w:pPr>
        <w:rPr>
          <w:rFonts w:hint="default"/>
          <w:lang w:val="en-US" w:eastAsia="zh-CN"/>
        </w:rPr>
      </w:pPr>
      <w:r>
        <w:rPr>
          <w:rFonts w:hint="default"/>
          <w:lang w:val="en-US" w:eastAsia="zh-CN"/>
        </w:rPr>
        <w:t>Yang, P. et al. (2020). Positive-unlabeled learning for disease gene identification. Bioinformatics.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0A7323"/>
    <w:multiLevelType w:val="singleLevel"/>
    <w:tmpl w:val="F80A7323"/>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F92735"/>
    <w:rsid w:val="01D11587"/>
    <w:rsid w:val="1DF92735"/>
    <w:rsid w:val="24EF7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1465</TotalTime>
  <ScaleCrop>false</ScaleCrop>
  <LinksUpToDate>false</LinksUpToDate>
  <CharactersWithSpaces>0</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2025-10-30T11:48:00Z</dcterms:created>
  <dc:creator>WPS_1754153612</dc:creator>
  <cp:lastModifiedBy>WPS_1754153612</cp:lastModifiedBy>
  <dcterms:modified xsi:type="dcterms:W3CDTF">2025-10-31T12:55:07Z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ICV">
    <vt:lpwstr>63EB03895CF3463790F8880E82F8F11C_11</vt:lpwstr>
  </property>
  <property fmtid="{D5CDD505-2E9C-101B-9397-08002B2CF9AE}" pid="4" name="KSOTemplateDocerSaveRecord">
    <vt:lpwstr>eyJoZGlkIjoiYjkyZmNhZmMwYTRkMzdjNDc0ZDBiODA4ZTNmNjg2YzYiLCJ1c2VySWQiOiIxNzI2NjE4Mjg5In0=</vt:lpwstr>
  </property>
</Properties>
</file>