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8322B">
      <w:pPr>
        <w:pStyle w:val="32"/>
        <w:spacing w:after="120" w:line="360" w:lineRule="auto"/>
      </w:pPr>
      <w:r>
        <w:rPr>
          <w:rFonts w:ascii="Times New Roman" w:hAnsi="Times New Roman"/>
          <w:sz w:val="24"/>
        </w:rPr>
        <w:t>Final Research Report</w:t>
      </w:r>
    </w:p>
    <w:p w14:paraId="4E3B95AF">
      <w:pPr>
        <w:spacing w:after="120" w:line="360" w:lineRule="auto"/>
      </w:pPr>
      <w:r>
        <w:rPr>
          <w:rFonts w:ascii="Times New Roman" w:hAnsi="Times New Roman"/>
          <w:sz w:val="24"/>
        </w:rPr>
        <w:t>Course Code: BIOX7</w:t>
      </w:r>
      <w:r>
        <w:rPr>
          <w:rFonts w:hint="eastAsia" w:ascii="Times New Roman" w:hAnsi="Times New Roman" w:eastAsia="SimSun"/>
          <w:sz w:val="24"/>
          <w:lang w:val="en-US" w:eastAsia="zh-CN"/>
        </w:rPr>
        <w:t>011</w:t>
      </w:r>
      <w:r>
        <w:rPr>
          <w:rFonts w:ascii="Times New Roman" w:hAnsi="Times New Roman"/>
          <w:sz w:val="24"/>
        </w:rPr>
        <w:br w:type="textWrapping"/>
      </w:r>
      <w:r>
        <w:rPr>
          <w:rFonts w:ascii="Times New Roman" w:hAnsi="Times New Roman"/>
          <w:sz w:val="24"/>
        </w:rPr>
        <w:t xml:space="preserve">Student Name: </w:t>
      </w:r>
      <w:r>
        <w:rPr>
          <w:rFonts w:hint="eastAsia" w:ascii="Times New Roman" w:hAnsi="Times New Roman" w:eastAsia="SimSun"/>
          <w:sz w:val="24"/>
          <w:lang w:val="en-US" w:eastAsia="zh-CN"/>
        </w:rPr>
        <w:t>Yu Sun</w:t>
      </w:r>
      <w:r>
        <w:rPr>
          <w:rFonts w:ascii="Times New Roman" w:hAnsi="Times New Roman"/>
          <w:sz w:val="24"/>
        </w:rPr>
        <w:br w:type="textWrapping"/>
      </w:r>
      <w:r>
        <w:rPr>
          <w:rFonts w:ascii="Times New Roman" w:hAnsi="Times New Roman"/>
          <w:sz w:val="24"/>
        </w:rPr>
        <w:t xml:space="preserve">Student Number: </w:t>
      </w:r>
      <w:r>
        <w:rPr>
          <w:rFonts w:hint="eastAsia" w:ascii="Times New Roman" w:hAnsi="Times New Roman" w:eastAsia="SimSun"/>
          <w:sz w:val="24"/>
          <w:lang w:val="en-US" w:eastAsia="zh-CN"/>
        </w:rPr>
        <w:t>45105764</w:t>
      </w:r>
      <w:r>
        <w:rPr>
          <w:rFonts w:ascii="Times New Roman" w:hAnsi="Times New Roman"/>
          <w:sz w:val="24"/>
        </w:rPr>
        <w:br w:type="textWrapping"/>
      </w:r>
      <w:r>
        <w:rPr>
          <w:rFonts w:ascii="Times New Roman" w:hAnsi="Times New Roman"/>
          <w:sz w:val="24"/>
        </w:rPr>
        <w:t>Supervisor: [</w:t>
      </w:r>
      <w:r>
        <w:rPr>
          <w:rFonts w:hint="eastAsia" w:ascii="Times New Roman" w:hAnsi="Times New Roman" w:eastAsia="SimSun"/>
          <w:sz w:val="24"/>
          <w:lang w:val="en-US" w:eastAsia="zh-CN"/>
        </w:rPr>
        <w:t>Jan Engelstaedter</w:t>
      </w:r>
      <w:r>
        <w:rPr>
          <w:rFonts w:ascii="Times New Roman" w:hAnsi="Times New Roman"/>
          <w:sz w:val="24"/>
        </w:rPr>
        <w:t>, Affiliation]</w:t>
      </w:r>
      <w:r>
        <w:rPr>
          <w:rFonts w:ascii="Times New Roman" w:hAnsi="Times New Roman"/>
          <w:sz w:val="24"/>
        </w:rPr>
        <w:br w:type="textWrapping"/>
      </w:r>
      <w:r>
        <w:rPr>
          <w:rFonts w:ascii="Times New Roman" w:hAnsi="Times New Roman"/>
          <w:sz w:val="24"/>
        </w:rPr>
        <w:t>Date: [Submission Date]</w:t>
      </w:r>
    </w:p>
    <w:p w14:paraId="13E5DE07">
      <w:pPr>
        <w:spacing w:after="120" w:line="360" w:lineRule="auto"/>
      </w:pPr>
      <w:r>
        <w:rPr>
          <w:rFonts w:ascii="Times New Roman" w:hAnsi="Times New Roman"/>
          <w:sz w:val="24"/>
        </w:rPr>
        <w:br w:type="page"/>
      </w:r>
    </w:p>
    <w:p w14:paraId="42CE9BAF">
      <w:pPr>
        <w:pStyle w:val="3"/>
        <w:spacing w:after="120" w:line="360" w:lineRule="auto"/>
      </w:pPr>
      <w:r>
        <w:rPr>
          <w:rFonts w:ascii="Times New Roman" w:hAnsi="Times New Roman"/>
          <w:sz w:val="24"/>
        </w:rPr>
        <w:t>Abstract</w:t>
      </w:r>
    </w:p>
    <w:p w14:paraId="37B34294">
      <w:pPr>
        <w:spacing w:after="120" w:line="360" w:lineRule="auto"/>
      </w:pPr>
      <w:r>
        <w:rPr>
          <w:rFonts w:ascii="Times New Roman" w:hAnsi="Times New Roman"/>
          <w:sz w:val="24"/>
        </w:rPr>
        <w:t>This section provides a concise summary of the entire project (200–300 words). It should clearly outline the research aims, the main methodologies used, the key findings, and the major conclusions derived from the study.</w:t>
      </w:r>
    </w:p>
    <w:p w14:paraId="707EAFAB">
      <w:pPr>
        <w:pStyle w:val="3"/>
        <w:numPr>
          <w:ilvl w:val="0"/>
          <w:numId w:val="7"/>
        </w:numPr>
        <w:spacing w:after="120" w:line="360" w:lineRule="auto"/>
        <w:rPr>
          <w:rFonts w:ascii="Times New Roman" w:hAnsi="Times New Roman"/>
          <w:sz w:val="24"/>
        </w:rPr>
      </w:pPr>
      <w:r>
        <w:rPr>
          <w:rFonts w:ascii="Times New Roman" w:hAnsi="Times New Roman"/>
          <w:sz w:val="24"/>
        </w:rPr>
        <w:t>Introduction</w:t>
      </w:r>
    </w:p>
    <w:p w14:paraId="770BEB94">
      <w:pPr>
        <w:numPr>
          <w:numId w:val="0"/>
        </w:numPr>
        <w:rPr>
          <w:rFonts w:hint="default"/>
        </w:rPr>
      </w:pPr>
      <w:r>
        <w:rPr>
          <w:rFonts w:hint="default"/>
        </w:rPr>
        <w:t>1. 抗菌素耐药性（AMR）的全球危机</w:t>
      </w:r>
    </w:p>
    <w:p w14:paraId="7FD00D9D">
      <w:pPr>
        <w:numPr>
          <w:numId w:val="0"/>
        </w:numPr>
        <w:rPr>
          <w:rFonts w:hint="default"/>
        </w:rPr>
      </w:pPr>
    </w:p>
    <w:p w14:paraId="46134093">
      <w:pPr>
        <w:numPr>
          <w:numId w:val="0"/>
        </w:numPr>
        <w:rPr>
          <w:rFonts w:hint="default"/>
        </w:rPr>
      </w:pPr>
      <w:r>
        <w:rPr>
          <w:rFonts w:hint="default"/>
        </w:rPr>
        <w:t>1.1 全球流行与公共卫生威胁</w:t>
      </w:r>
    </w:p>
    <w:p w14:paraId="1D58DE19">
      <w:pPr>
        <w:numPr>
          <w:numId w:val="0"/>
        </w:numPr>
        <w:rPr>
          <w:rFonts w:hint="default"/>
        </w:rPr>
      </w:pPr>
    </w:p>
    <w:p w14:paraId="6A7F677A">
      <w:pPr>
        <w:numPr>
          <w:numId w:val="0"/>
        </w:numPr>
        <w:rPr>
          <w:rFonts w:hint="default"/>
        </w:rPr>
      </w:pPr>
      <w:r>
        <w:rPr>
          <w:rFonts w:hint="default"/>
        </w:rPr>
        <w:t>简述AMR的定义与机制（突变、基因水平转移、选择压力）</w:t>
      </w:r>
    </w:p>
    <w:p w14:paraId="4D27264E">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Since the start of 21</w:t>
      </w:r>
      <w:r>
        <w:rPr>
          <w:rFonts w:ascii="Times New Roman" w:hAnsi="Times New Roman" w:eastAsia="SimSun" w:cs="Times New Roman"/>
          <w:color w:val="000000"/>
          <w:sz w:val="24"/>
          <w:szCs w:val="24"/>
          <w:vertAlign w:val="superscript"/>
          <w:lang w:eastAsia="zh-CN" w:bidi="ar"/>
        </w:rPr>
        <w:t>st</w:t>
      </w:r>
      <w:r>
        <w:rPr>
          <w:rFonts w:ascii="Times New Roman" w:hAnsi="Times New Roman" w:eastAsia="SimSun" w:cs="Times New Roman"/>
          <w:color w:val="000000"/>
          <w:sz w:val="24"/>
          <w:szCs w:val="24"/>
          <w:lang w:eastAsia="zh-CN" w:bidi="ar"/>
        </w:rPr>
        <w:t xml:space="preserve"> century Antimicrobial Resistance (AMR) has become one of the most pressing threats to global public health. The World Health Organization estimates more than 10 million people will die annually by 20250 from AMR-related infections .AMR not only makes it more difficult to treat infections, but also significantly raises healthcare costs and length of hospitalization, placing greater pressure on public health systems in low-income countries . Among the many drug-resistant pathogens, drug-resistant tuberculosis (DR-TB) is of particular concern. approximately 450,000 people worldwide will have rifampicin-resistant tuberculosis (RR-TB) in 2022, with the majority of cases also showing resistance to isoniazid, thus constituting multidrug-resistant tuberculosis (MDR-TB) .</w:t>
      </w:r>
    </w:p>
    <w:p w14:paraId="3BEF9364">
      <w:pPr>
        <w:numPr>
          <w:ilvl w:val="0"/>
          <w:numId w:val="0"/>
        </w:numPr>
        <w:rPr>
          <w:rFonts w:hint="default"/>
        </w:rPr>
      </w:pPr>
      <w:r>
        <w:rPr>
          <w:rFonts w:ascii="SimSun" w:hAnsi="SimSun" w:eastAsia="SimSun" w:cs="SimSun"/>
          <w:sz w:val="24"/>
          <w:szCs w:val="24"/>
        </w:rPr>
        <w:t xml:space="preserve">AMR 的成因与传播跨越 </w:t>
      </w:r>
      <w:r>
        <w:rPr>
          <w:rStyle w:val="134"/>
          <w:rFonts w:ascii="SimSun" w:hAnsi="SimSun" w:eastAsia="SimSun" w:cs="SimSun"/>
          <w:sz w:val="24"/>
          <w:szCs w:val="24"/>
        </w:rPr>
        <w:t>人类、动物与环境</w:t>
      </w:r>
      <w:r>
        <w:rPr>
          <w:rFonts w:ascii="SimSun" w:hAnsi="SimSun" w:eastAsia="SimSun" w:cs="SimSun"/>
          <w:sz w:val="24"/>
          <w:szCs w:val="24"/>
        </w:rPr>
        <w:t xml:space="preserve">三重界面（One Health）：人群临床用药、畜牧与水产中的抗菌药使用、废水与环境耐药基因库之间彼此联动，要求卫生、农业与生态等多部门协同。其中，医院获得性感染中的 </w:t>
      </w:r>
      <w:r>
        <w:rPr>
          <w:rStyle w:val="134"/>
          <w:rFonts w:ascii="SimSun" w:hAnsi="SimSun" w:eastAsia="SimSun" w:cs="SimSun"/>
          <w:sz w:val="24"/>
          <w:szCs w:val="24"/>
        </w:rPr>
        <w:t>ESKAPE 病原体</w:t>
      </w:r>
      <w:r>
        <w:rPr>
          <w:rFonts w:ascii="SimSun" w:hAnsi="SimSun" w:eastAsia="SimSun" w:cs="SimSun"/>
          <w:sz w:val="24"/>
          <w:szCs w:val="24"/>
        </w:rPr>
        <w:t>以</w:t>
      </w:r>
      <w:r>
        <w:rPr>
          <w:rStyle w:val="134"/>
          <w:rFonts w:ascii="SimSun" w:hAnsi="SimSun" w:eastAsia="SimSun" w:cs="SimSun"/>
          <w:sz w:val="24"/>
          <w:szCs w:val="24"/>
        </w:rPr>
        <w:t>多重耐药</w:t>
      </w:r>
      <w:r>
        <w:rPr>
          <w:rFonts w:ascii="SimSun" w:hAnsi="SimSun" w:eastAsia="SimSun" w:cs="SimSun"/>
          <w:sz w:val="24"/>
          <w:szCs w:val="24"/>
        </w:rPr>
        <w:t>与</w:t>
      </w:r>
      <w:r>
        <w:rPr>
          <w:rStyle w:val="134"/>
          <w:rFonts w:ascii="SimSun" w:hAnsi="SimSun" w:eastAsia="SimSun" w:cs="SimSun"/>
          <w:sz w:val="24"/>
          <w:szCs w:val="24"/>
        </w:rPr>
        <w:t>治疗失败</w:t>
      </w:r>
      <w:r>
        <w:rPr>
          <w:rFonts w:ascii="SimSun" w:hAnsi="SimSun" w:eastAsia="SimSun" w:cs="SimSun"/>
          <w:sz w:val="24"/>
          <w:szCs w:val="24"/>
        </w:rPr>
        <w:t xml:space="preserve">著称，是全球政策与研发的优先对象。虽然本文聚焦 </w:t>
      </w:r>
      <w:r>
        <w:rPr>
          <w:rStyle w:val="134"/>
          <w:rFonts w:ascii="SimSun" w:hAnsi="SimSun" w:eastAsia="SimSun" w:cs="SimSun"/>
          <w:sz w:val="24"/>
          <w:szCs w:val="24"/>
        </w:rPr>
        <w:t>利福平（Rifampicin, RIF）</w:t>
      </w:r>
      <w:r>
        <w:rPr>
          <w:rFonts w:ascii="SimSun" w:hAnsi="SimSun" w:eastAsia="SimSun" w:cs="SimSun"/>
          <w:sz w:val="24"/>
          <w:szCs w:val="24"/>
        </w:rPr>
        <w:t xml:space="preserve"> 的耐药机制（主要通过 </w:t>
      </w:r>
      <w:r>
        <w:rPr>
          <w:rStyle w:val="134"/>
          <w:rFonts w:ascii="SimSun" w:hAnsi="SimSun" w:eastAsia="SimSun" w:cs="SimSun"/>
          <w:sz w:val="24"/>
          <w:szCs w:val="24"/>
        </w:rPr>
        <w:t>rpoB</w:t>
      </w:r>
      <w:r>
        <w:rPr>
          <w:rFonts w:ascii="SimSun" w:hAnsi="SimSun" w:eastAsia="SimSun" w:cs="SimSun"/>
          <w:sz w:val="24"/>
          <w:szCs w:val="24"/>
        </w:rPr>
        <w:t xml:space="preserve"> 位点突变）及其跨物种分布与预测，但其研究逻辑与 ESKAPE 的抗性进化具有共通性：在持续的药物选择压力下，关键靶点突变、外排泵增强、酶介导失活、生物膜等机制可以</w:t>
      </w:r>
      <w:r>
        <w:rPr>
          <w:rStyle w:val="134"/>
          <w:rFonts w:ascii="SimSun" w:hAnsi="SimSun" w:eastAsia="SimSun" w:cs="SimSun"/>
          <w:sz w:val="24"/>
          <w:szCs w:val="24"/>
        </w:rPr>
        <w:t>并行或叠加</w:t>
      </w:r>
      <w:r>
        <w:rPr>
          <w:rFonts w:ascii="SimSun" w:hAnsi="SimSun" w:eastAsia="SimSun" w:cs="SimSun"/>
          <w:sz w:val="24"/>
          <w:szCs w:val="24"/>
        </w:rPr>
        <w:t xml:space="preserve">出现，导致临床治疗窗口收窄。将 </w:t>
      </w:r>
      <w:r>
        <w:rPr>
          <w:rStyle w:val="134"/>
          <w:rFonts w:ascii="SimSun" w:hAnsi="SimSun" w:eastAsia="SimSun" w:cs="SimSun"/>
          <w:sz w:val="24"/>
          <w:szCs w:val="24"/>
        </w:rPr>
        <w:t>RIF-耐药</w:t>
      </w:r>
      <w:r>
        <w:rPr>
          <w:rFonts w:ascii="SimSun" w:hAnsi="SimSun" w:eastAsia="SimSun" w:cs="SimSun"/>
          <w:sz w:val="24"/>
          <w:szCs w:val="24"/>
        </w:rPr>
        <w:t xml:space="preserve"> 的分子谱系学证据与 </w:t>
      </w:r>
      <w:r>
        <w:rPr>
          <w:rStyle w:val="134"/>
          <w:rFonts w:ascii="SimSun" w:hAnsi="SimSun" w:eastAsia="SimSun" w:cs="SimSun"/>
          <w:sz w:val="24"/>
          <w:szCs w:val="24"/>
        </w:rPr>
        <w:t>ESKAPE</w:t>
      </w:r>
      <w:r>
        <w:rPr>
          <w:rFonts w:ascii="SimSun" w:hAnsi="SimSun" w:eastAsia="SimSun" w:cs="SimSun"/>
          <w:sz w:val="24"/>
          <w:szCs w:val="24"/>
        </w:rPr>
        <w:t xml:space="preserve"> 的临床与流行病学监测相结合，可为制定更具针对性的</w:t>
      </w:r>
      <w:r>
        <w:rPr>
          <w:rStyle w:val="134"/>
          <w:rFonts w:ascii="SimSun" w:hAnsi="SimSun" w:eastAsia="SimSun" w:cs="SimSun"/>
          <w:sz w:val="24"/>
          <w:szCs w:val="24"/>
        </w:rPr>
        <w:t>经验用药策略</w:t>
      </w:r>
      <w:r>
        <w:rPr>
          <w:rFonts w:ascii="SimSun" w:hAnsi="SimSun" w:eastAsia="SimSun" w:cs="SimSun"/>
          <w:sz w:val="24"/>
          <w:szCs w:val="24"/>
        </w:rPr>
        <w:t>、</w:t>
      </w:r>
      <w:r>
        <w:rPr>
          <w:rStyle w:val="134"/>
          <w:rFonts w:ascii="SimSun" w:hAnsi="SimSun" w:eastAsia="SimSun" w:cs="SimSun"/>
          <w:sz w:val="24"/>
          <w:szCs w:val="24"/>
        </w:rPr>
        <w:t>耐药预警指标</w:t>
      </w:r>
      <w:r>
        <w:rPr>
          <w:rFonts w:ascii="SimSun" w:hAnsi="SimSun" w:eastAsia="SimSun" w:cs="SimSun"/>
          <w:sz w:val="24"/>
          <w:szCs w:val="24"/>
        </w:rPr>
        <w:t>与</w:t>
      </w:r>
      <w:r>
        <w:rPr>
          <w:rStyle w:val="134"/>
          <w:rFonts w:ascii="SimSun" w:hAnsi="SimSun" w:eastAsia="SimSun" w:cs="SimSun"/>
          <w:sz w:val="24"/>
          <w:szCs w:val="24"/>
        </w:rPr>
        <w:t>新药/伴随诊断</w:t>
      </w:r>
      <w:r>
        <w:rPr>
          <w:rFonts w:ascii="SimSun" w:hAnsi="SimSun" w:eastAsia="SimSun" w:cs="SimSun"/>
          <w:sz w:val="24"/>
          <w:szCs w:val="24"/>
        </w:rPr>
        <w:t>研发提供实证基础</w:t>
      </w:r>
    </w:p>
    <w:p w14:paraId="1902ACE5">
      <w:pPr>
        <w:rPr>
          <w:rFonts w:ascii="Times New Roman" w:hAnsi="Times New Roman" w:eastAsia="SimSun" w:cs="Times New Roman"/>
          <w:color w:val="000000"/>
          <w:sz w:val="24"/>
          <w:szCs w:val="24"/>
          <w:lang w:eastAsia="zh-CN" w:bidi="ar"/>
        </w:rPr>
      </w:pPr>
    </w:p>
    <w:p w14:paraId="0D2688B7">
      <w:pPr>
        <w:numPr>
          <w:numId w:val="0"/>
        </w:numPr>
        <w:rPr>
          <w:rFonts w:hint="eastAsia" w:eastAsia="SimSun"/>
          <w:lang w:val="en-US" w:eastAsia="zh-CN"/>
        </w:rPr>
      </w:pPr>
    </w:p>
    <w:p w14:paraId="3DAC4C20">
      <w:pPr>
        <w:pStyle w:val="30"/>
        <w:keepNext w:val="0"/>
        <w:keepLines w:val="0"/>
        <w:widowControl/>
        <w:suppressLineNumbers w:val="0"/>
      </w:pPr>
      <w:r>
        <w:rPr>
          <w:rFonts w:hint="eastAsia" w:eastAsia="SimSun"/>
          <w:lang w:val="en-US" w:eastAsia="zh-CN"/>
        </w:rPr>
        <w:t>在具体的抗药性细菌中</w:t>
      </w:r>
      <w:r>
        <w:t>，Louis B. Rice</w:t>
      </w:r>
      <w:r>
        <w:rPr>
          <w:rFonts w:hint="eastAsia" w:eastAsia="SimSun"/>
          <w:lang w:val="en-US" w:eastAsia="zh-CN"/>
        </w:rPr>
        <w:t>提出了</w:t>
      </w:r>
      <w:r>
        <w:t xml:space="preserve">“ESKAPE 细菌”即由 </w:t>
      </w:r>
      <w:r>
        <w:rPr>
          <w:rStyle w:val="135"/>
        </w:rPr>
        <w:t>Enterococcus faecium, Staphylococcus aureus, Klebsiella pneumoniae, Acinetobacter baumannii, Pseudomonas aeruginosa, Enterobacter</w:t>
      </w:r>
      <w:r>
        <w:t xml:space="preserve"> 等六大耐药病原</w:t>
      </w:r>
      <w:r>
        <w:rPr>
          <w:rFonts w:hint="eastAsia" w:eastAsia="SimSun"/>
          <w:lang w:val="en-US" w:eastAsia="zh-CN"/>
        </w:rPr>
        <w:t>的</w:t>
      </w:r>
      <w:r>
        <w:t>首字母组合而得。2008 年，Louis B. Rice 在其评论中指出，这些病原因为其高度的抗菌药物逃逸能力，成为医院获得性感染中最具挑战性的耐药威胁。</w:t>
      </w:r>
    </w:p>
    <w:p w14:paraId="6A140045">
      <w:pPr>
        <w:pStyle w:val="30"/>
        <w:keepNext w:val="0"/>
        <w:keepLines w:val="0"/>
        <w:widowControl/>
        <w:suppressLineNumbers w:val="0"/>
      </w:pPr>
      <w:r>
        <w:t>本研究针对的是另一类耐药机制——尤其关注于 Rifampicin 抗药性突变（rpoB 位点突变）在不同菌种间的分布与共演化。尽管 Rifampicin 耐药更多聚焦于结核分枝杆菌及相关病原，但从机制角度看，其耐药路径也与 ESKAPE 细菌中的多重耐药机制同样具备“选择压力下突变累积与传播”的特征。因此，探讨 Rifampicin 抗药突变与 ESKAPE 群体耐药模式之间的关联，有助于从更广义的抗菌耐药视角理解这些关键病原体如何“逃逸”治疗，并为监测、预防及治疗策略提供新的思路。</w:t>
      </w:r>
    </w:p>
    <w:p w14:paraId="52AAF01F">
      <w:pPr>
        <w:numPr>
          <w:numId w:val="0"/>
        </w:numPr>
        <w:rPr>
          <w:rFonts w:hint="default"/>
        </w:rPr>
      </w:pPr>
    </w:p>
    <w:p w14:paraId="3B8E1D26">
      <w:pPr>
        <w:numPr>
          <w:numId w:val="0"/>
        </w:numPr>
        <w:rPr>
          <w:rFonts w:hint="default"/>
        </w:rPr>
      </w:pPr>
      <w:r>
        <w:rPr>
          <w:rFonts w:hint="default"/>
        </w:rPr>
        <w:t>Mycobacterium, with its unique cell wall structure and slow growth, is a prime example of chronic pathogenic infection. Its long-term latency, intracellular survival, and inherent drug resistance have placed it at the core of research on infection biology and drug tolerance. Mycobacterium tuberculosis (M. tuberculosis), the most important pathogen in this genus, remains one of the most serious chronic infections worldwide.</w:t>
      </w:r>
    </w:p>
    <w:p w14:paraId="1BFA0FA2">
      <w:pPr>
        <w:numPr>
          <w:numId w:val="0"/>
        </w:numPr>
        <w:rPr>
          <w:rFonts w:hint="default"/>
        </w:rPr>
      </w:pPr>
    </w:p>
    <w:p w14:paraId="03F6F010">
      <w:pPr>
        <w:numPr>
          <w:numId w:val="0"/>
        </w:numPr>
        <w:rPr>
          <w:rFonts w:hint="default"/>
        </w:rPr>
      </w:pPr>
      <w:r>
        <w:rPr>
          <w:rFonts w:hint="default"/>
        </w:rPr>
        <w:t>Today, tuberculosis (TB) remains one of the most burdensome chronic infectious diseases worldwide. According to the World Health Organization (WHO, 2023), there will be an estimated 10.5 million new cases of TB and 1.3 million related deaths worldwide in 2022. The ongoing prevalence of drug-resistant TB (DR-TB) poses the greatest obstacle to the fight against TB.</w:t>
      </w:r>
    </w:p>
    <w:p w14:paraId="3E89EA41">
      <w:pPr>
        <w:numPr>
          <w:numId w:val="0"/>
        </w:numPr>
        <w:rPr>
          <w:rFonts w:hint="default"/>
        </w:rPr>
      </w:pPr>
      <w:r>
        <w:rPr>
          <w:rFonts w:hint="default"/>
        </w:rPr>
        <w:t>Multidrug-resistant tuberculosis (MDR-TB) refers to strains that are resistant to at least isoniazid and rifampicin. Extensively drug-resistant tuberculosis (XDR-TB) is MDR-TB and further resistant to fluoroquinolones and at least one second-line injectable drug (such as amikacin or capreomycin). In 2022, there were approximately 450,000 new cases of rifampicin-resistant TB (most of which were MDR-TB), with a cure rate of only approximately 60% (WHO Global TB Report 2023).</w:t>
      </w:r>
    </w:p>
    <w:p w14:paraId="6C38402D">
      <w:pPr>
        <w:numPr>
          <w:numId w:val="0"/>
        </w:numPr>
        <w:rPr>
          <w:rFonts w:hint="default"/>
        </w:rPr>
      </w:pPr>
    </w:p>
    <w:p w14:paraId="4A12318A">
      <w:pPr>
        <w:numPr>
          <w:numId w:val="0"/>
        </w:numPr>
        <w:rPr>
          <w:rFonts w:hint="default"/>
        </w:rPr>
      </w:pPr>
      <w:r>
        <w:rPr>
          <w:rFonts w:hint="default"/>
        </w:rPr>
        <w:t>Rifampicin (RIF) is currently one of the most effective antibiotics against mycobacteria, particularly M. tuberculosis.</w:t>
      </w:r>
    </w:p>
    <w:p w14:paraId="6EBD1D4E">
      <w:pPr>
        <w:numPr>
          <w:numId w:val="0"/>
        </w:numPr>
        <w:rPr>
          <w:rFonts w:hint="default"/>
        </w:rPr>
      </w:pPr>
      <w:r>
        <w:rPr>
          <w:rFonts w:hint="default"/>
        </w:rPr>
        <w:t>It belongs to the rifamycin class and inhibits bacterial transcription by binding to the RNA polymerase β subunit (encoded by the rpoB gene). Therefore, RIF can effectively kill both actively replicating and some quiescent mycobacteria, making it a key drug for breaking the "barrier of chronic infection."</w:t>
      </w:r>
    </w:p>
    <w:p w14:paraId="526FD9D5">
      <w:pPr>
        <w:numPr>
          <w:numId w:val="0"/>
        </w:numPr>
        <w:rPr>
          <w:rFonts w:hint="default"/>
        </w:rPr>
      </w:pPr>
    </w:p>
    <w:p w14:paraId="65CEEAB1">
      <w:pPr>
        <w:numPr>
          <w:numId w:val="0"/>
        </w:numPr>
        <w:rPr>
          <w:rFonts w:hint="default"/>
        </w:rPr>
      </w:pPr>
      <w:r>
        <w:rPr>
          <w:rFonts w:hint="default"/>
        </w:rPr>
        <w:t>In the WHO-recommended "short-course combined chemotherapy" (HRZE) regimen, RIF is used in combination with isoniazid (H), pyrazinamide (Z), and ethambutol (E), a cornerstone of the global TB control strategy. However, single-drug resistance to RIF (rifampicin-resistant TB, RR-TB) is considered a warning indicator of MDR-TB, as mutations in the rpoB locus often coexist with other drug-resistant mutations. In recent years, rapid molecular diagnostics based on rpoB (such as Xpert MTB/RIF and line-probe assays) have become key clinical tools for detecting drug-resistant TB.</w:t>
      </w:r>
    </w:p>
    <w:p w14:paraId="40EBED3A">
      <w:pPr>
        <w:numPr>
          <w:numId w:val="0"/>
        </w:numPr>
        <w:rPr>
          <w:rFonts w:hint="default"/>
        </w:rPr>
      </w:pPr>
    </w:p>
    <w:p w14:paraId="15548A2B">
      <w:pPr>
        <w:numPr>
          <w:numId w:val="0"/>
        </w:numPr>
        <w:rPr>
          <w:rFonts w:hint="default"/>
        </w:rPr>
      </w:pPr>
      <w:r>
        <w:rPr>
          <w:rFonts w:hint="default"/>
        </w:rPr>
        <w:t>Since its introduction in the 1960s, rifampicin (RIF) has been the preferred first-line drug in standard tuberculosis treatment regimens. It binds to the RNA polymerase β subunit (encoded by the rpoB gene), inhibiting RNA synthesis and thereby blocking bacterial transcription. Due to its potent bactericidal activity, good tissue penetration, and effectiveness against intracellular quiescent bacteria, RIF is considered a key drug for achieving short-term chemotherapy (standard treatment course of 6 months).</w:t>
      </w:r>
    </w:p>
    <w:p w14:paraId="6863BFC4">
      <w:pPr>
        <w:numPr>
          <w:numId w:val="0"/>
        </w:numPr>
        <w:rPr>
          <w:rFonts w:hint="default"/>
        </w:rPr>
      </w:pPr>
    </w:p>
    <w:p w14:paraId="2CE4B025">
      <w:pPr>
        <w:numPr>
          <w:numId w:val="0"/>
        </w:numPr>
        <w:rPr>
          <w:rFonts w:hint="default"/>
        </w:rPr>
      </w:pPr>
      <w:r>
        <w:rPr>
          <w:rFonts w:hint="default"/>
        </w:rPr>
        <w:t>In terms of chemical structure, rifampicin (RIF) belongs to the rifamycin class of antibiotics. It is a semisynthetic aromatic macrolide compound with a molecular formula of C₄₃H₅₈N₄O₁₂ and a molecular weight of approximately 823.94 Da. Its chemical backbone consists of an aromatic naphthoquinone nucleus connected to a nitrogen-containing piperazine-like or hydrazone moiety via aliphatic side chains, forming a highly conjugated, rigid structure. This structure confers excellent lipid solubility on rifampicin, enabling it to penetrate the mycolic acid-rich cell wall of Mycobacterium tuberculosis.</w:t>
      </w:r>
    </w:p>
    <w:p w14:paraId="1F571C8B">
      <w:pPr>
        <w:numPr>
          <w:numId w:val="0"/>
        </w:numPr>
        <w:rPr>
          <w:rFonts w:hint="default"/>
        </w:rPr>
      </w:pPr>
    </w:p>
    <w:p w14:paraId="677EBB58">
      <w:pPr>
        <w:numPr>
          <w:numId w:val="0"/>
        </w:numPr>
        <w:rPr>
          <w:rFonts w:hint="default"/>
        </w:rPr>
      </w:pPr>
      <w:r>
        <w:rPr>
          <w:rFonts w:hint="default"/>
        </w:rPr>
        <w:t>The core of rifampicin's pharmacological activity lies in its ability to specifically bind to the bacterial RNA polymerase β subunit (encoded by rpoB), forming hydrogen bonds and hydrophobic interactions with the rifampicin binding pocket, thereby blocking RNA chain elongation and inhibiting transcription. This mechanism of action is effective against Gram-positive bacteria, some Gram-negative bacteria, and actinomycetes, but has no significant effect on eukaryotic RNA polymerase, resulting in high selectivity.</w:t>
      </w:r>
    </w:p>
    <w:p w14:paraId="55AEFF7B">
      <w:pPr>
        <w:numPr>
          <w:numId w:val="0"/>
        </w:numPr>
        <w:rPr>
          <w:rFonts w:hint="default"/>
        </w:rPr>
      </w:pPr>
    </w:p>
    <w:p w14:paraId="6E76DC0C">
      <w:pPr>
        <w:numPr>
          <w:numId w:val="0"/>
        </w:numPr>
        <w:rPr>
          <w:rFonts w:hint="default"/>
        </w:rPr>
      </w:pPr>
      <w:r>
        <w:rPr>
          <w:rFonts w:hint="default"/>
        </w:rPr>
        <w:t>Rifampicin is rapidly absorbed after oral administration, with a bioavailability of approximately 70–90% in the fasting state. Its high lipid solubility facilitates its widespread distribution throughout the body, including the lungs, cerebrospinal fluid, liver, kidneys, and phagocytes, with particularly high concentrations found in tuberculosis lesions. Plasma protein binding is approximately 80%, with a half-life of 2–5 hours (long-term use may shorten this due to enzyme induction).</w:t>
      </w:r>
    </w:p>
    <w:p w14:paraId="6841C98C">
      <w:pPr>
        <w:numPr>
          <w:numId w:val="0"/>
        </w:numPr>
        <w:rPr>
          <w:rFonts w:hint="default"/>
        </w:rPr>
      </w:pPr>
    </w:p>
    <w:p w14:paraId="264976F1">
      <w:pPr>
        <w:numPr>
          <w:numId w:val="0"/>
        </w:numPr>
        <w:rPr>
          <w:rFonts w:hint="default"/>
        </w:rPr>
      </w:pPr>
      <w:r>
        <w:rPr>
          <w:rFonts w:hint="default"/>
        </w:rPr>
        <w:t>Rifampicin is primarily metabolized in the liver via the cytochrome P450 (CYP3A4) and CYP2C systems to the active deacetylated product (desacetyl-rifampicin), which retains some antibacterial activity. Rifampicin is also a potent inducer, significantly accelerating the metabolism of various drugs (such as antivirals, hormones, and anticoagulants), potentially contributing to drug-drug interactions.</w:t>
      </w:r>
    </w:p>
    <w:p w14:paraId="5020DA20">
      <w:pPr>
        <w:numPr>
          <w:numId w:val="0"/>
        </w:numPr>
        <w:rPr>
          <w:rFonts w:hint="default"/>
        </w:rPr>
      </w:pPr>
    </w:p>
    <w:p w14:paraId="78C0865E">
      <w:pPr>
        <w:numPr>
          <w:numId w:val="0"/>
        </w:numPr>
        <w:rPr>
          <w:rFonts w:hint="default"/>
        </w:rPr>
      </w:pPr>
      <w:r>
        <w:rPr>
          <w:rFonts w:hint="default"/>
        </w:rPr>
        <w:t>The drug and its metabolites are primarily excreted via bile, with some reabsorbed via the enterohepatic circulation, resulting in a common orange-red stool color. Approximately 30% of the drug is excreted unchanged or as metabolites in the urine. Because rifampicin metabolism depends on liver function, liver damage or enzyme-induced states (such as chronic alcohol consumption or co-administration of phenytoin or carbamazepine) can significantly affect its plasma concentration.</w:t>
      </w:r>
    </w:p>
    <w:p w14:paraId="5078E3E0">
      <w:pPr>
        <w:numPr>
          <w:numId w:val="0"/>
        </w:numPr>
        <w:rPr>
          <w:rFonts w:hint="default"/>
        </w:rPr>
      </w:pPr>
    </w:p>
    <w:p w14:paraId="06752678">
      <w:pPr>
        <w:numPr>
          <w:numId w:val="0"/>
        </w:numPr>
        <w:rPr>
          <w:rFonts w:hint="default"/>
        </w:rPr>
      </w:pPr>
      <w:r>
        <w:rPr>
          <w:rFonts w:hint="default"/>
        </w:rPr>
        <w:t>In clinical practice, Rifampicin has also been expanded to treat and prevent various bacterial infections. For the treatment of leprosy (Hansen's disease), the World Health Organization recommends the combination of rifampicin with clofazimine and dapsone as the core of a multidrug therapy (MDT) regimen. The typical adult dose is 600 mg once monthly for 12 months for multibacterial leprosy and 6 months for paucibacillary leprosy.</w:t>
      </w:r>
    </w:p>
    <w:p w14:paraId="29FB5039">
      <w:pPr>
        <w:numPr>
          <w:numId w:val="0"/>
        </w:numPr>
        <w:rPr>
          <w:rFonts w:hint="default"/>
        </w:rPr>
      </w:pPr>
    </w:p>
    <w:p w14:paraId="6925A416">
      <w:pPr>
        <w:numPr>
          <w:numId w:val="0"/>
        </w:numPr>
        <w:rPr>
          <w:rFonts w:hint="default"/>
        </w:rPr>
      </w:pPr>
      <w:r>
        <w:rPr>
          <w:rFonts w:hint="default"/>
        </w:rPr>
        <w:t>Rifampicin is also used for certain prosthetic joint infections (PJIs), particularly those caused by Staphylococcus spp. Studies have shown that combining rifampicin with other antimicrobial agents (such as β-lactams or vancomycin) can enhance penetration and clearance of bacteria within biofilms. For example, a multicenter observational study involving 669 patients showed a treatment failure rate of 32.2% in the rifampicin combination therapy group compared to 54.2% in the non-rifampicin group. Rifampicin is also used for post-exposure prophylaxis in carriers of Neisseria meningitidis, aiming to eliminate the nasopharyngeal carriage state and thus reduce the risk of outbreaks.</w:t>
      </w:r>
    </w:p>
    <w:p w14:paraId="7C54D772">
      <w:pPr>
        <w:numPr>
          <w:numId w:val="0"/>
        </w:numPr>
        <w:rPr>
          <w:rFonts w:hint="default"/>
        </w:rPr>
      </w:pPr>
    </w:p>
    <w:p w14:paraId="3900E8D0">
      <w:pPr>
        <w:numPr>
          <w:numId w:val="0"/>
        </w:numPr>
        <w:rPr>
          <w:rFonts w:hint="default"/>
        </w:rPr>
      </w:pPr>
      <w:r>
        <w:rPr>
          <w:rFonts w:hint="default"/>
        </w:rPr>
        <w:t>Although not its primary indication, rifampicin is often used in combination with macrolides and ethambutol for the treatment of pathogens such as Mycobacterium avium and M. kansasii for nontuberculous mycobacterial (NTM) infections.</w:t>
      </w:r>
    </w:p>
    <w:p w14:paraId="7A0F3587">
      <w:pPr>
        <w:numPr>
          <w:numId w:val="0"/>
        </w:numPr>
        <w:rPr>
          <w:rFonts w:hint="default"/>
        </w:rPr>
      </w:pPr>
    </w:p>
    <w:p w14:paraId="6C010E5C">
      <w:pPr>
        <w:numPr>
          <w:numId w:val="0"/>
        </w:numPr>
        <w:rPr>
          <w:rFonts w:hint="default"/>
        </w:rPr>
      </w:pPr>
      <w:r>
        <w:rPr>
          <w:rFonts w:hint="default"/>
        </w:rPr>
        <w:t>RIF's primary target is the bacterial DNA-dependent RNA polymerase (RNAP). This enzyme complex is composed of multiple subunits, including α2ββ'σ. The β subunit (RpoB) is the core component that catalyzes transcription, responsible for nucleotide binding and RNA chain elongation. Because RNAP is an essential enzyme in all bacterial transcription processes, RpoB plays a key role in transcription initiation, DNA depolymerization, RNA synthesis, and transcription bubble stability, making it an important target for many broad-spectrum antibiotics.</w:t>
      </w:r>
    </w:p>
    <w:p w14:paraId="6DE5BEEF">
      <w:pPr>
        <w:numPr>
          <w:numId w:val="0"/>
        </w:numPr>
        <w:rPr>
          <w:rFonts w:hint="default"/>
        </w:rPr>
      </w:pPr>
    </w:p>
    <w:p w14:paraId="2501E3DC">
      <w:pPr>
        <w:numPr>
          <w:numId w:val="0"/>
        </w:numPr>
        <w:rPr>
          <w:rFonts w:hint="default"/>
        </w:rPr>
      </w:pPr>
      <w:r>
        <w:rPr>
          <w:rFonts w:hint="default"/>
        </w:rPr>
        <w:t>Rifampicin inhibits transcription by binding to a specific site on RpoB, located within a conserved region of approximately 81 base pairs within the β subunit, termed the Rifampicin Resistance-Determining Region (RRDR). In Mycobacterium tuberculosis, this region corresponds to amino acid residues 426–452 of RpoB. Structural studies have shown that the aromatic naphthalene ring of rifampicin fits into the RNAP channel, forming hydrogen bonds and hydrophobic interactions with several key residues (such as Ser450, His445, and Asp435). Upon binding, rifampicin prevents the RNA chain from advancing from initiation to elongation, preventing the nascent RNA chain from exceeding 2–3 nucleotides in length, thereby terminating transcription and leading to bacterial death.</w:t>
      </w:r>
    </w:p>
    <w:p w14:paraId="537882C5">
      <w:pPr>
        <w:numPr>
          <w:numId w:val="0"/>
        </w:numPr>
        <w:rPr>
          <w:rFonts w:hint="default"/>
        </w:rPr>
      </w:pPr>
    </w:p>
    <w:p w14:paraId="6C1D278B">
      <w:pPr>
        <w:numPr>
          <w:numId w:val="0"/>
        </w:numPr>
        <w:rPr>
          <w:rFonts w:hint="default"/>
        </w:rPr>
      </w:pPr>
      <w:r>
        <w:rPr>
          <w:rFonts w:hint="default"/>
        </w:rPr>
        <w:t>However, mutations in the rpoB gene, particularly amino acid substitutions within the RRDR region (such as S450L, H445Y, and D435V), alter the conformation and charge environment of the RpoB binding pocket, disrupting the critical hydrogen bonding network and hydrophobic interactions required for rifampicin binding. These mutations significantly reduce rifampicin's affinity for RNAP or prevent drug access to the binding pocket, leading to drug resistance. Approximately 90–95% of rifampicin-resistant tuberculosis strains harbor mutations in the RRDR region (Zhao et al., 2020). Furthermore, some mutations can affect RNA polymerase catalytic efficiency to a certain extent, creating a trade-off between metabolic cost and fitness, providing an evolutionary basis for the long-term survival of drug-resistant strains (Helmann et al., 2023; Das et al., 2020).</w:t>
      </w:r>
    </w:p>
    <w:p w14:paraId="69C116AE">
      <w:pPr>
        <w:numPr>
          <w:numId w:val="0"/>
        </w:numPr>
        <w:rPr>
          <w:rFonts w:hint="default"/>
        </w:rPr>
      </w:pPr>
    </w:p>
    <w:p w14:paraId="3500BFF4">
      <w:pPr>
        <w:numPr>
          <w:numId w:val="0"/>
        </w:numPr>
        <w:rPr>
          <w:rFonts w:hint="default"/>
        </w:rPr>
      </w:pPr>
      <w:r>
        <w:rPr>
          <w:rFonts w:hint="default"/>
        </w:rPr>
        <w:t>Thus, RpoB is not only a direct target of rifampicin but also one of the most important molecular hallmarks of drug resistance in Mycobacterium tuberculosis. The structural and functional studies of rpoB mutations not only provide a precise molecular basis for understanding the mechanism of action of Rifampicin, but also lay a theoretical foundation for the development of a new generation of RNA polymerase inhibitors and rapid drug resistance diagnostic tools.</w:t>
      </w:r>
      <w:bookmarkStart w:id="0" w:name="_GoBack"/>
      <w:bookmarkEnd w:id="0"/>
    </w:p>
    <w:p w14:paraId="02ECD23C">
      <w:pPr>
        <w:numPr>
          <w:numId w:val="0"/>
        </w:numPr>
        <w:rPr>
          <w:rFonts w:hint="default"/>
        </w:rPr>
      </w:pPr>
      <w:r>
        <w:rPr>
          <w:rFonts w:hint="default"/>
        </w:rPr>
        <w:t>3. 利福平抗药性（Rif-resistance）的分子基础</w:t>
      </w:r>
    </w:p>
    <w:p w14:paraId="01BBA98B">
      <w:pPr>
        <w:numPr>
          <w:numId w:val="0"/>
        </w:numPr>
        <w:rPr>
          <w:rFonts w:hint="default"/>
        </w:rPr>
      </w:pPr>
    </w:p>
    <w:p w14:paraId="6D13605D">
      <w:pPr>
        <w:numPr>
          <w:numId w:val="0"/>
        </w:numPr>
        <w:rPr>
          <w:rFonts w:hint="default"/>
        </w:rPr>
      </w:pPr>
      <w:r>
        <w:rPr>
          <w:rFonts w:hint="default"/>
        </w:rPr>
        <w:t>3.1 rpoB突变与耐药机制</w:t>
      </w:r>
    </w:p>
    <w:p w14:paraId="5D87D85A">
      <w:pPr>
        <w:numPr>
          <w:numId w:val="0"/>
        </w:numPr>
        <w:rPr>
          <w:rFonts w:hint="default"/>
        </w:rPr>
      </w:pPr>
    </w:p>
    <w:p w14:paraId="205D8F66">
      <w:pPr>
        <w:numPr>
          <w:numId w:val="0"/>
        </w:numPr>
        <w:rPr>
          <w:rFonts w:hint="default"/>
        </w:rPr>
      </w:pPr>
      <w:r>
        <w:rPr>
          <w:rFonts w:hint="default"/>
        </w:rPr>
        <w:t>经典突变位点（S531L, H526Y/D, D516V）</w:t>
      </w:r>
    </w:p>
    <w:p w14:paraId="06AAE436">
      <w:pPr>
        <w:numPr>
          <w:numId w:val="0"/>
        </w:numPr>
        <w:rPr>
          <w:rFonts w:hint="default"/>
        </w:rPr>
      </w:pPr>
    </w:p>
    <w:p w14:paraId="3BEC430E">
      <w:pPr>
        <w:numPr>
          <w:numId w:val="0"/>
        </w:numPr>
        <w:rPr>
          <w:rFonts w:hint="default"/>
        </w:rPr>
      </w:pPr>
      <w:r>
        <w:rPr>
          <w:rFonts w:hint="default"/>
        </w:rPr>
        <w:t>突变如何改变Rif结合亲和力</w:t>
      </w:r>
    </w:p>
    <w:p w14:paraId="39E761D9">
      <w:pPr>
        <w:numPr>
          <w:numId w:val="0"/>
        </w:numPr>
        <w:rPr>
          <w:rFonts w:hint="default"/>
        </w:rPr>
      </w:pPr>
    </w:p>
    <w:p w14:paraId="1A90D053">
      <w:pPr>
        <w:numPr>
          <w:numId w:val="0"/>
        </w:numPr>
        <w:rPr>
          <w:rFonts w:hint="default"/>
        </w:rPr>
      </w:pPr>
      <w:r>
        <w:rPr>
          <w:rFonts w:hint="default"/>
        </w:rPr>
        <w:t>不同突变导致不同水平的耐药性与适应代价（fitness cost）</w:t>
      </w:r>
    </w:p>
    <w:p w14:paraId="65347021">
      <w:pPr>
        <w:numPr>
          <w:numId w:val="0"/>
        </w:numPr>
        <w:rPr>
          <w:rFonts w:hint="default"/>
        </w:rPr>
      </w:pPr>
    </w:p>
    <w:p w14:paraId="6740F849">
      <w:pPr>
        <w:numPr>
          <w:numId w:val="0"/>
        </w:numPr>
        <w:rPr>
          <w:rFonts w:hint="default"/>
        </w:rPr>
      </w:pPr>
      <w:r>
        <w:rPr>
          <w:rFonts w:hint="default"/>
        </w:rPr>
        <w:t>3.2 其他辅助耐药机制</w:t>
      </w:r>
    </w:p>
    <w:p w14:paraId="3EA224A0">
      <w:pPr>
        <w:numPr>
          <w:numId w:val="0"/>
        </w:numPr>
        <w:rPr>
          <w:rFonts w:hint="default"/>
        </w:rPr>
      </w:pPr>
    </w:p>
    <w:p w14:paraId="3B1670F1">
      <w:pPr>
        <w:numPr>
          <w:numId w:val="0"/>
        </w:numPr>
        <w:rPr>
          <w:rFonts w:hint="default"/>
        </w:rPr>
      </w:pPr>
      <w:r>
        <w:rPr>
          <w:rFonts w:hint="default"/>
        </w:rPr>
        <w:t>外排泵系统（efflux pump）上调</w:t>
      </w:r>
    </w:p>
    <w:p w14:paraId="4BE096A4">
      <w:pPr>
        <w:numPr>
          <w:numId w:val="0"/>
        </w:numPr>
        <w:rPr>
          <w:rFonts w:hint="default"/>
        </w:rPr>
      </w:pPr>
    </w:p>
    <w:p w14:paraId="3541453F">
      <w:pPr>
        <w:numPr>
          <w:numId w:val="0"/>
        </w:numPr>
        <w:rPr>
          <w:rFonts w:hint="default"/>
        </w:rPr>
      </w:pPr>
      <w:r>
        <w:rPr>
          <w:rFonts w:hint="default"/>
        </w:rPr>
        <w:t>细胞膜通透性改变</w:t>
      </w:r>
    </w:p>
    <w:p w14:paraId="1B03012A">
      <w:pPr>
        <w:numPr>
          <w:numId w:val="0"/>
        </w:numPr>
        <w:rPr>
          <w:rFonts w:hint="default"/>
        </w:rPr>
      </w:pPr>
    </w:p>
    <w:p w14:paraId="152B5A7E">
      <w:pPr>
        <w:numPr>
          <w:numId w:val="0"/>
        </w:numPr>
        <w:rPr>
          <w:rFonts w:hint="default"/>
        </w:rPr>
      </w:pPr>
      <w:r>
        <w:rPr>
          <w:rFonts w:hint="default"/>
        </w:rPr>
        <w:t>代谢或氧化应激反应增强</w:t>
      </w:r>
    </w:p>
    <w:p w14:paraId="3D0F8762">
      <w:pPr>
        <w:numPr>
          <w:numId w:val="0"/>
        </w:numPr>
        <w:rPr>
          <w:rFonts w:hint="default"/>
        </w:rPr>
      </w:pPr>
    </w:p>
    <w:p w14:paraId="0C6D026F">
      <w:pPr>
        <w:numPr>
          <w:numId w:val="0"/>
        </w:numPr>
        <w:rPr>
          <w:rFonts w:hint="default"/>
        </w:rPr>
      </w:pPr>
      <w:r>
        <w:rPr>
          <w:rFonts w:hint="default"/>
        </w:rPr>
        <w:t>联合用药时的交互耐药性（例如Isoniazid与Rif的共同压力）</w:t>
      </w:r>
    </w:p>
    <w:p w14:paraId="111E8FBB">
      <w:pPr>
        <w:numPr>
          <w:numId w:val="0"/>
        </w:numPr>
        <w:rPr>
          <w:rFonts w:hint="default"/>
        </w:rPr>
      </w:pPr>
    </w:p>
    <w:p w14:paraId="677BC125">
      <w:pPr>
        <w:numPr>
          <w:numId w:val="0"/>
        </w:numPr>
        <w:rPr>
          <w:rFonts w:hint="default"/>
        </w:rPr>
      </w:pPr>
      <w:r>
        <w:rPr>
          <w:rFonts w:hint="default"/>
        </w:rPr>
        <w:t>3.3 耐药突变的可预测性与进化模式</w:t>
      </w:r>
    </w:p>
    <w:p w14:paraId="315E342A">
      <w:pPr>
        <w:numPr>
          <w:numId w:val="0"/>
        </w:numPr>
        <w:rPr>
          <w:rFonts w:hint="default"/>
        </w:rPr>
      </w:pPr>
    </w:p>
    <w:p w14:paraId="2AE5AEB2">
      <w:pPr>
        <w:numPr>
          <w:numId w:val="0"/>
        </w:numPr>
        <w:rPr>
          <w:rFonts w:hint="default"/>
        </w:rPr>
      </w:pPr>
      <w:r>
        <w:rPr>
          <w:rFonts w:hint="default"/>
        </w:rPr>
        <w:t>同源位点的进化趋同（convergent evolution）</w:t>
      </w:r>
    </w:p>
    <w:p w14:paraId="1DEC83C7">
      <w:pPr>
        <w:numPr>
          <w:numId w:val="0"/>
        </w:numPr>
        <w:rPr>
          <w:rFonts w:hint="default"/>
        </w:rPr>
      </w:pPr>
    </w:p>
    <w:p w14:paraId="48456920">
      <w:pPr>
        <w:numPr>
          <w:numId w:val="0"/>
        </w:numPr>
        <w:rPr>
          <w:rFonts w:hint="default"/>
        </w:rPr>
      </w:pPr>
      <w:r>
        <w:rPr>
          <w:rFonts w:hint="default"/>
        </w:rPr>
        <w:t>结构保守区域突变的适应性边界</w:t>
      </w:r>
    </w:p>
    <w:p w14:paraId="62D5CEF1">
      <w:pPr>
        <w:numPr>
          <w:numId w:val="0"/>
        </w:numPr>
        <w:rPr>
          <w:rFonts w:hint="default"/>
        </w:rPr>
      </w:pPr>
    </w:p>
    <w:p w14:paraId="45EF331F">
      <w:pPr>
        <w:numPr>
          <w:numId w:val="0"/>
        </w:numPr>
        <w:rPr>
          <w:rFonts w:hint="default"/>
        </w:rPr>
      </w:pPr>
      <w:r>
        <w:rPr>
          <w:rFonts w:hint="default"/>
        </w:rPr>
        <w:t>不同物种rpoB序列差异下的结构敏感性</w:t>
      </w:r>
    </w:p>
    <w:p w14:paraId="3BF78975">
      <w:pPr>
        <w:numPr>
          <w:numId w:val="0"/>
        </w:numPr>
        <w:rPr>
          <w:rFonts w:hint="default"/>
        </w:rPr>
      </w:pPr>
    </w:p>
    <w:p w14:paraId="5873BD9D">
      <w:pPr>
        <w:numPr>
          <w:numId w:val="0"/>
        </w:numPr>
        <w:rPr>
          <w:rFonts w:hint="default"/>
        </w:rPr>
      </w:pPr>
      <w:r>
        <w:rPr>
          <w:rFonts w:hint="default"/>
        </w:rPr>
        <w:t>4. 已有的利福平耐药性研究进展</w:t>
      </w:r>
    </w:p>
    <w:p w14:paraId="4F7CAE26">
      <w:pPr>
        <w:numPr>
          <w:numId w:val="0"/>
        </w:numPr>
        <w:rPr>
          <w:rFonts w:hint="default"/>
        </w:rPr>
      </w:pPr>
    </w:p>
    <w:p w14:paraId="3B3B700B">
      <w:pPr>
        <w:numPr>
          <w:numId w:val="0"/>
        </w:numPr>
        <w:rPr>
          <w:rFonts w:hint="default"/>
        </w:rPr>
      </w:pPr>
      <w:r>
        <w:rPr>
          <w:rFonts w:hint="default"/>
        </w:rPr>
        <w:t>4.1 临床与实验研究的主要模型物种</w:t>
      </w:r>
    </w:p>
    <w:p w14:paraId="17C5B29E">
      <w:pPr>
        <w:numPr>
          <w:numId w:val="0"/>
        </w:numPr>
        <w:rPr>
          <w:rFonts w:hint="default"/>
        </w:rPr>
      </w:pPr>
    </w:p>
    <w:p w14:paraId="11BD2D7C">
      <w:pPr>
        <w:numPr>
          <w:numId w:val="0"/>
        </w:numPr>
        <w:rPr>
          <w:rFonts w:hint="default"/>
        </w:rPr>
      </w:pPr>
      <w:r>
        <w:rPr>
          <w:rFonts w:hint="default"/>
        </w:rPr>
        <w:t>结核分枝杆菌（Mycobacterium tuberculosis）</w:t>
      </w:r>
    </w:p>
    <w:p w14:paraId="56347D5F">
      <w:pPr>
        <w:numPr>
          <w:numId w:val="0"/>
        </w:numPr>
        <w:rPr>
          <w:rFonts w:hint="default"/>
        </w:rPr>
      </w:pPr>
    </w:p>
    <w:p w14:paraId="00F8A14F">
      <w:pPr>
        <w:numPr>
          <w:numId w:val="0"/>
        </w:numPr>
        <w:rPr>
          <w:rFonts w:hint="default"/>
        </w:rPr>
      </w:pPr>
      <w:r>
        <w:rPr>
          <w:rFonts w:hint="default"/>
        </w:rPr>
        <w:t>麻风分枝杆菌（M. leprae）</w:t>
      </w:r>
    </w:p>
    <w:p w14:paraId="4B0E1F87">
      <w:pPr>
        <w:numPr>
          <w:numId w:val="0"/>
        </w:numPr>
        <w:rPr>
          <w:rFonts w:hint="default"/>
        </w:rPr>
      </w:pPr>
    </w:p>
    <w:p w14:paraId="206B054A">
      <w:pPr>
        <w:numPr>
          <w:numId w:val="0"/>
        </w:numPr>
        <w:rPr>
          <w:rFonts w:hint="default"/>
        </w:rPr>
      </w:pPr>
      <w:r>
        <w:rPr>
          <w:rFonts w:hint="default"/>
        </w:rPr>
        <w:t>大肠杆菌（E. coli）、金黄色葡萄球菌（S. aureus）、铜绿假单胞菌（P. aeruginosa）</w:t>
      </w:r>
    </w:p>
    <w:p w14:paraId="447A2914">
      <w:pPr>
        <w:numPr>
          <w:numId w:val="0"/>
        </w:numPr>
        <w:rPr>
          <w:rFonts w:hint="default"/>
        </w:rPr>
      </w:pPr>
    </w:p>
    <w:p w14:paraId="1E8CC751">
      <w:pPr>
        <w:numPr>
          <w:numId w:val="0"/>
        </w:numPr>
        <w:rPr>
          <w:rFonts w:hint="default"/>
        </w:rPr>
      </w:pPr>
      <w:r>
        <w:rPr>
          <w:rFonts w:hint="default"/>
        </w:rPr>
        <w:t>环境菌与土壤放线菌（例如 Streptomyces）</w:t>
      </w:r>
    </w:p>
    <w:p w14:paraId="74C5D6A1">
      <w:pPr>
        <w:numPr>
          <w:numId w:val="0"/>
        </w:numPr>
        <w:rPr>
          <w:rFonts w:hint="default"/>
        </w:rPr>
      </w:pPr>
    </w:p>
    <w:p w14:paraId="116B5C36">
      <w:pPr>
        <w:numPr>
          <w:numId w:val="0"/>
        </w:numPr>
        <w:rPr>
          <w:rFonts w:hint="default"/>
        </w:rPr>
      </w:pPr>
      <w:r>
        <w:rPr>
          <w:rFonts w:hint="default"/>
        </w:rPr>
        <w:t>4.2 利福平抗药性数据库与突变数据积累</w:t>
      </w:r>
    </w:p>
    <w:p w14:paraId="068566A0">
      <w:pPr>
        <w:numPr>
          <w:numId w:val="0"/>
        </w:numPr>
        <w:rPr>
          <w:rFonts w:hint="default"/>
        </w:rPr>
      </w:pPr>
    </w:p>
    <w:p w14:paraId="4C4BDF8A">
      <w:pPr>
        <w:numPr>
          <w:numId w:val="0"/>
        </w:numPr>
        <w:rPr>
          <w:rFonts w:hint="default"/>
        </w:rPr>
      </w:pPr>
      <w:r>
        <w:rPr>
          <w:rFonts w:hint="default"/>
        </w:rPr>
        <w:t>TB-Profiler、WHO RDB、CARD、ResFinder等数据库</w:t>
      </w:r>
    </w:p>
    <w:p w14:paraId="6C76B1CA">
      <w:pPr>
        <w:numPr>
          <w:numId w:val="0"/>
        </w:numPr>
        <w:rPr>
          <w:rFonts w:hint="default"/>
        </w:rPr>
      </w:pPr>
    </w:p>
    <w:p w14:paraId="3B39F749">
      <w:pPr>
        <w:numPr>
          <w:numId w:val="0"/>
        </w:numPr>
        <w:rPr>
          <w:rFonts w:hint="default"/>
        </w:rPr>
      </w:pPr>
      <w:r>
        <w:rPr>
          <w:rFonts w:hint="default"/>
        </w:rPr>
        <w:t>重点说明这些数据库局限于临床病原体，非模式物种覆盖不足</w:t>
      </w:r>
    </w:p>
    <w:p w14:paraId="1ECF07E5">
      <w:pPr>
        <w:numPr>
          <w:numId w:val="0"/>
        </w:numPr>
        <w:rPr>
          <w:rFonts w:hint="default"/>
        </w:rPr>
      </w:pPr>
    </w:p>
    <w:p w14:paraId="6C8E28BA">
      <w:pPr>
        <w:numPr>
          <w:numId w:val="0"/>
        </w:numPr>
        <w:rPr>
          <w:rFonts w:hint="default"/>
        </w:rPr>
      </w:pPr>
      <w:r>
        <w:rPr>
          <w:rFonts w:hint="default"/>
        </w:rPr>
        <w:t>4.3 跨物种耐药性比较与结构预测研究</w:t>
      </w:r>
    </w:p>
    <w:p w14:paraId="082D6D26">
      <w:pPr>
        <w:numPr>
          <w:numId w:val="0"/>
        </w:numPr>
        <w:rPr>
          <w:rFonts w:hint="default"/>
        </w:rPr>
      </w:pPr>
    </w:p>
    <w:p w14:paraId="33845590">
      <w:pPr>
        <w:numPr>
          <w:numId w:val="0"/>
        </w:numPr>
        <w:rPr>
          <w:rFonts w:hint="default"/>
        </w:rPr>
      </w:pPr>
      <w:r>
        <w:rPr>
          <w:rFonts w:hint="default"/>
        </w:rPr>
        <w:t>比较不同物种rpoB突变的结构效应</w:t>
      </w:r>
    </w:p>
    <w:p w14:paraId="3496AC32">
      <w:pPr>
        <w:numPr>
          <w:numId w:val="0"/>
        </w:numPr>
        <w:rPr>
          <w:rFonts w:hint="default"/>
        </w:rPr>
      </w:pPr>
    </w:p>
    <w:p w14:paraId="5E25C5BB">
      <w:pPr>
        <w:numPr>
          <w:numId w:val="0"/>
        </w:numPr>
        <w:rPr>
          <w:rFonts w:hint="default"/>
        </w:rPr>
      </w:pPr>
      <w:r>
        <w:rPr>
          <w:rFonts w:hint="default"/>
        </w:rPr>
        <w:t>分子动力学模拟（MD）或计算机辅助药物设计（CADD）研究</w:t>
      </w:r>
    </w:p>
    <w:p w14:paraId="7A49D061">
      <w:pPr>
        <w:numPr>
          <w:numId w:val="0"/>
        </w:numPr>
        <w:rPr>
          <w:rFonts w:hint="default"/>
        </w:rPr>
      </w:pPr>
    </w:p>
    <w:p w14:paraId="4C26223A">
      <w:pPr>
        <w:numPr>
          <w:numId w:val="0"/>
        </w:numPr>
        <w:rPr>
          <w:rFonts w:hint="default"/>
        </w:rPr>
      </w:pPr>
      <w:r>
        <w:rPr>
          <w:rFonts w:hint="default"/>
        </w:rPr>
        <w:t>展示耐药性预测在分子演化、生物信息学、药理学上的意义</w:t>
      </w:r>
    </w:p>
    <w:p w14:paraId="65881813">
      <w:pPr>
        <w:numPr>
          <w:numId w:val="0"/>
        </w:numPr>
        <w:rPr>
          <w:rFonts w:hint="default"/>
        </w:rPr>
      </w:pPr>
    </w:p>
    <w:p w14:paraId="0AC82225">
      <w:pPr>
        <w:numPr>
          <w:numId w:val="0"/>
        </w:numPr>
        <w:rPr>
          <w:rFonts w:hint="default"/>
        </w:rPr>
      </w:pPr>
      <w:r>
        <w:rPr>
          <w:rFonts w:hint="default"/>
        </w:rPr>
        <w:t>5. 研究空白与科学问题定位</w:t>
      </w:r>
    </w:p>
    <w:p w14:paraId="41373225">
      <w:pPr>
        <w:numPr>
          <w:numId w:val="0"/>
        </w:numPr>
        <w:rPr>
          <w:rFonts w:hint="default"/>
        </w:rPr>
      </w:pPr>
    </w:p>
    <w:p w14:paraId="40A6F5FD">
      <w:pPr>
        <w:numPr>
          <w:numId w:val="0"/>
        </w:numPr>
        <w:rPr>
          <w:rFonts w:hint="default"/>
        </w:rPr>
      </w:pPr>
      <w:r>
        <w:rPr>
          <w:rFonts w:hint="default"/>
        </w:rPr>
        <w:t>5.1 跨物种耐药预测的必要性</w:t>
      </w:r>
    </w:p>
    <w:p w14:paraId="5A25A224">
      <w:pPr>
        <w:numPr>
          <w:numId w:val="0"/>
        </w:numPr>
        <w:rPr>
          <w:rFonts w:hint="default"/>
        </w:rPr>
      </w:pPr>
    </w:p>
    <w:p w14:paraId="69A9EDB7">
      <w:pPr>
        <w:numPr>
          <w:numId w:val="0"/>
        </w:numPr>
        <w:rPr>
          <w:rFonts w:hint="default"/>
        </w:rPr>
      </w:pPr>
      <w:r>
        <w:rPr>
          <w:rFonts w:hint="default"/>
        </w:rPr>
        <w:t>环境细菌作为耐药基因储库（resistome）的潜在威胁</w:t>
      </w:r>
    </w:p>
    <w:p w14:paraId="4203A7E1">
      <w:pPr>
        <w:numPr>
          <w:numId w:val="0"/>
        </w:numPr>
        <w:rPr>
          <w:rFonts w:hint="default"/>
        </w:rPr>
      </w:pPr>
    </w:p>
    <w:p w14:paraId="55633DCE">
      <w:pPr>
        <w:numPr>
          <w:numId w:val="0"/>
        </w:numPr>
        <w:rPr>
          <w:rFonts w:hint="default"/>
        </w:rPr>
      </w:pPr>
      <w:r>
        <w:rPr>
          <w:rFonts w:hint="default"/>
        </w:rPr>
        <w:t>利福平使用后的环境残留导致选择压力</w:t>
      </w:r>
    </w:p>
    <w:p w14:paraId="6FD9654F">
      <w:pPr>
        <w:numPr>
          <w:numId w:val="0"/>
        </w:numPr>
        <w:rPr>
          <w:rFonts w:hint="default"/>
        </w:rPr>
      </w:pPr>
    </w:p>
    <w:p w14:paraId="365A5A13">
      <w:pPr>
        <w:numPr>
          <w:numId w:val="0"/>
        </w:numPr>
        <w:rPr>
          <w:rFonts w:hint="default"/>
        </w:rPr>
      </w:pPr>
      <w:r>
        <w:rPr>
          <w:rFonts w:hint="default"/>
        </w:rPr>
        <w:t>当前研究集中于少数病原体 → 缺乏对非临床细菌的预测框架</w:t>
      </w:r>
    </w:p>
    <w:p w14:paraId="1753DE34">
      <w:pPr>
        <w:numPr>
          <w:numId w:val="0"/>
        </w:numPr>
        <w:rPr>
          <w:rFonts w:hint="default"/>
        </w:rPr>
      </w:pPr>
    </w:p>
    <w:p w14:paraId="506916F2">
      <w:pPr>
        <w:numPr>
          <w:numId w:val="0"/>
        </w:numPr>
        <w:rPr>
          <w:rFonts w:hint="default"/>
        </w:rPr>
      </w:pPr>
      <w:r>
        <w:rPr>
          <w:rFonts w:hint="default"/>
        </w:rPr>
        <w:t>5.2 利福平抗药性突变的可迁移性问题</w:t>
      </w:r>
    </w:p>
    <w:p w14:paraId="48E57C72">
      <w:pPr>
        <w:numPr>
          <w:numId w:val="0"/>
        </w:numPr>
        <w:rPr>
          <w:rFonts w:hint="default"/>
        </w:rPr>
      </w:pPr>
    </w:p>
    <w:p w14:paraId="41E5536D">
      <w:pPr>
        <w:numPr>
          <w:numId w:val="0"/>
        </w:numPr>
        <w:rPr>
          <w:rFonts w:hint="default"/>
        </w:rPr>
      </w:pPr>
      <w:r>
        <w:rPr>
          <w:rFonts w:hint="default"/>
        </w:rPr>
        <w:t>同源rpoB位点突变在不同物种间是否具有相同效应？</w:t>
      </w:r>
    </w:p>
    <w:p w14:paraId="01D6A49D">
      <w:pPr>
        <w:numPr>
          <w:numId w:val="0"/>
        </w:numPr>
        <w:rPr>
          <w:rFonts w:hint="default"/>
        </w:rPr>
      </w:pPr>
    </w:p>
    <w:p w14:paraId="1C0DCC05">
      <w:pPr>
        <w:numPr>
          <w:numId w:val="0"/>
        </w:numPr>
        <w:rPr>
          <w:rFonts w:hint="default"/>
        </w:rPr>
      </w:pPr>
      <w:r>
        <w:rPr>
          <w:rFonts w:hint="default"/>
        </w:rPr>
        <w:t>结构与序列差异对突变适应性的影响</w:t>
      </w:r>
    </w:p>
    <w:p w14:paraId="65DE587A">
      <w:pPr>
        <w:numPr>
          <w:numId w:val="0"/>
        </w:numPr>
        <w:rPr>
          <w:rFonts w:hint="default"/>
        </w:rPr>
      </w:pPr>
    </w:p>
    <w:p w14:paraId="18964664">
      <w:pPr>
        <w:numPr>
          <w:numId w:val="0"/>
        </w:numPr>
        <w:rPr>
          <w:rFonts w:hint="default"/>
        </w:rPr>
      </w:pPr>
      <w:r>
        <w:rPr>
          <w:rFonts w:hint="default"/>
        </w:rPr>
        <w:t>预测新物种耐药突变的潜在意义：</w:t>
      </w:r>
    </w:p>
    <w:p w14:paraId="61AA6F7B">
      <w:pPr>
        <w:numPr>
          <w:numId w:val="0"/>
        </w:numPr>
        <w:rPr>
          <w:rFonts w:hint="default"/>
        </w:rPr>
      </w:pPr>
    </w:p>
    <w:p w14:paraId="3EC253E6">
      <w:pPr>
        <w:numPr>
          <w:numId w:val="0"/>
        </w:numPr>
        <w:rPr>
          <w:rFonts w:hint="default"/>
        </w:rPr>
      </w:pPr>
      <w:r>
        <w:rPr>
          <w:rFonts w:hint="default"/>
        </w:rPr>
        <w:t>指导未来病原风险评估</w:t>
      </w:r>
    </w:p>
    <w:p w14:paraId="4114B2AC">
      <w:pPr>
        <w:numPr>
          <w:numId w:val="0"/>
        </w:numPr>
        <w:rPr>
          <w:rFonts w:hint="default"/>
        </w:rPr>
      </w:pPr>
    </w:p>
    <w:p w14:paraId="4E94AFCE">
      <w:pPr>
        <w:numPr>
          <w:numId w:val="0"/>
        </w:numPr>
        <w:rPr>
          <w:rFonts w:hint="default"/>
        </w:rPr>
      </w:pPr>
      <w:r>
        <w:rPr>
          <w:rFonts w:hint="default"/>
        </w:rPr>
        <w:t>辅助药物再设计与靶点改进</w:t>
      </w:r>
    </w:p>
    <w:p w14:paraId="13C62B4B">
      <w:pPr>
        <w:numPr>
          <w:numId w:val="0"/>
        </w:numPr>
        <w:rPr>
          <w:rFonts w:hint="default"/>
        </w:rPr>
      </w:pPr>
    </w:p>
    <w:p w14:paraId="064BF246">
      <w:pPr>
        <w:numPr>
          <w:numId w:val="0"/>
        </w:numPr>
        <w:rPr>
          <w:rFonts w:hint="default"/>
        </w:rPr>
      </w:pPr>
      <w:r>
        <w:rPr>
          <w:rFonts w:hint="default"/>
        </w:rPr>
        <w:t>6. 研究目标与本项目定位</w:t>
      </w:r>
    </w:p>
    <w:p w14:paraId="62FA5B75">
      <w:pPr>
        <w:numPr>
          <w:numId w:val="0"/>
        </w:numPr>
        <w:rPr>
          <w:rFonts w:hint="default"/>
        </w:rPr>
      </w:pPr>
    </w:p>
    <w:p w14:paraId="1ECDDCF6">
      <w:pPr>
        <w:numPr>
          <w:numId w:val="0"/>
        </w:numPr>
        <w:rPr>
          <w:rFonts w:hint="default"/>
        </w:rPr>
      </w:pPr>
      <w:r>
        <w:rPr>
          <w:rFonts w:hint="default"/>
        </w:rPr>
        <w:t>6.1 项目总体目标</w:t>
      </w:r>
    </w:p>
    <w:p w14:paraId="43D7B6D3">
      <w:pPr>
        <w:numPr>
          <w:numId w:val="0"/>
        </w:numPr>
        <w:rPr>
          <w:rFonts w:hint="default"/>
        </w:rPr>
      </w:pPr>
    </w:p>
    <w:p w14:paraId="02D9CDBE">
      <w:pPr>
        <w:numPr>
          <w:numId w:val="0"/>
        </w:numPr>
        <w:rPr>
          <w:rFonts w:hint="default"/>
        </w:rPr>
      </w:pPr>
      <w:r>
        <w:rPr>
          <w:rFonts w:hint="default"/>
        </w:rPr>
        <w:t>构建跨物种rpoB序列比较框架</w:t>
      </w:r>
    </w:p>
    <w:p w14:paraId="4C4AEA71">
      <w:pPr>
        <w:numPr>
          <w:numId w:val="0"/>
        </w:numPr>
        <w:rPr>
          <w:rFonts w:hint="default"/>
        </w:rPr>
      </w:pPr>
    </w:p>
    <w:p w14:paraId="0A2D31D6">
      <w:pPr>
        <w:numPr>
          <w:numId w:val="0"/>
        </w:numPr>
        <w:rPr>
          <w:rFonts w:hint="default"/>
        </w:rPr>
      </w:pPr>
      <w:r>
        <w:rPr>
          <w:rFonts w:hint="default"/>
        </w:rPr>
        <w:t>利用机器学习预测不同细菌物种中可能导致利福平抗药的突变位点</w:t>
      </w:r>
    </w:p>
    <w:p w14:paraId="22F1D711">
      <w:pPr>
        <w:numPr>
          <w:numId w:val="0"/>
        </w:numPr>
        <w:rPr>
          <w:rFonts w:hint="default"/>
        </w:rPr>
      </w:pPr>
    </w:p>
    <w:p w14:paraId="139153CD">
      <w:pPr>
        <w:numPr>
          <w:numId w:val="0"/>
        </w:numPr>
        <w:rPr>
          <w:rFonts w:hint="default"/>
        </w:rPr>
      </w:pPr>
      <w:r>
        <w:rPr>
          <w:rFonts w:hint="default"/>
        </w:rPr>
        <w:t>6.2 科学意义与潜在应用</w:t>
      </w:r>
    </w:p>
    <w:p w14:paraId="686A9A8D">
      <w:pPr>
        <w:numPr>
          <w:numId w:val="0"/>
        </w:numPr>
        <w:rPr>
          <w:rFonts w:hint="default"/>
        </w:rPr>
      </w:pPr>
    </w:p>
    <w:p w14:paraId="769D39E0">
      <w:pPr>
        <w:numPr>
          <w:numId w:val="0"/>
        </w:numPr>
        <w:rPr>
          <w:rFonts w:hint="default"/>
        </w:rPr>
      </w:pPr>
      <w:r>
        <w:rPr>
          <w:rFonts w:hint="default"/>
        </w:rPr>
        <w:t>揭示抗药突变的保守与可塑性边界</w:t>
      </w:r>
    </w:p>
    <w:p w14:paraId="16C6F400">
      <w:pPr>
        <w:numPr>
          <w:numId w:val="0"/>
        </w:numPr>
        <w:rPr>
          <w:rFonts w:hint="default"/>
        </w:rPr>
      </w:pPr>
    </w:p>
    <w:p w14:paraId="7487C410">
      <w:pPr>
        <w:numPr>
          <w:numId w:val="0"/>
        </w:numPr>
        <w:rPr>
          <w:rFonts w:hint="default"/>
        </w:rPr>
      </w:pPr>
      <w:r>
        <w:rPr>
          <w:rFonts w:hint="default"/>
        </w:rPr>
        <w:t>为新出现或非模式细菌提供耐药风险预警</w:t>
      </w:r>
    </w:p>
    <w:p w14:paraId="3331AD57">
      <w:pPr>
        <w:numPr>
          <w:numId w:val="0"/>
        </w:numPr>
        <w:rPr>
          <w:rFonts w:hint="default"/>
        </w:rPr>
      </w:pPr>
    </w:p>
    <w:p w14:paraId="28A50352">
      <w:pPr>
        <w:numPr>
          <w:numId w:val="0"/>
        </w:numPr>
      </w:pPr>
      <w:r>
        <w:rPr>
          <w:rFonts w:hint="default"/>
        </w:rPr>
        <w:t>为后续抗生素设计、耐药传播监测提供基础</w:t>
      </w:r>
    </w:p>
    <w:p w14:paraId="24508BCC">
      <w:pPr>
        <w:pStyle w:val="3"/>
        <w:spacing w:after="120" w:line="360" w:lineRule="auto"/>
        <w:rPr>
          <w:rFonts w:ascii="Times New Roman" w:hAnsi="Times New Roman"/>
          <w:sz w:val="24"/>
        </w:rPr>
      </w:pPr>
    </w:p>
    <w:p w14:paraId="0F9F628F">
      <w:pPr>
        <w:pStyle w:val="3"/>
        <w:spacing w:after="120" w:line="360" w:lineRule="auto"/>
        <w:rPr>
          <w:rFonts w:hint="default" w:ascii="Times New Roman" w:hAnsi="Times New Roman" w:eastAsia="SimSun" w:cs="Times New Roman"/>
          <w:color w:val="000000" w:themeColor="text1"/>
          <w:sz w:val="24"/>
          <w:lang w:val="en-US" w:eastAsia="zh-CN"/>
          <w14:textFill>
            <w14:solidFill>
              <w14:schemeClr w14:val="tx1"/>
            </w14:solidFill>
          </w14:textFill>
        </w:rPr>
      </w:pPr>
      <w:r>
        <w:rPr>
          <w:rFonts w:hint="default" w:ascii="Times New Roman" w:hAnsi="Times New Roman" w:eastAsia="SimSun" w:cs="Times New Roman"/>
          <w:color w:val="000000" w:themeColor="text1"/>
          <w:sz w:val="24"/>
          <w:lang w:val="en-US" w:eastAsia="zh-CN"/>
          <w14:textFill>
            <w14:solidFill>
              <w14:schemeClr w14:val="tx1"/>
            </w14:solidFill>
          </w14:textFill>
        </w:rPr>
        <w:t>Although Mycobacterium tuberculosis is the most intensively studied model for rifampicin resistance, rifampicin is exposed to a wide range of bacteria, both in clinical use and through environmental contamination. Therefore, this study aims to predict cross-species mutation patterns, which may provide insights into the evolutionary convergence of antibiotic resistance.</w:t>
      </w:r>
    </w:p>
    <w:p w14:paraId="4238922B">
      <w:pPr>
        <w:rPr>
          <w:rFonts w:hint="default"/>
          <w:lang w:val="en-US" w:eastAsia="zh-CN"/>
        </w:rPr>
      </w:pPr>
      <w:r>
        <w:rPr>
          <w:rFonts w:hint="default"/>
          <w:lang w:eastAsia="zh-CN"/>
        </w:rPr>
        <w:t>As humans truly explore the Earth, they encounter more than just E. coli or M. tb. Therefore, if humans rely on a limited set of RIF drugs to combat a wide variety of bacteria in nature, they are likely to exhibit varying adaptability or resistance. Therefore, this project aims to predict as many potential RIF-resistant mutations as possible in unconventional or less widely studied bacterial species.</w:t>
      </w:r>
    </w:p>
    <w:p w14:paraId="46DBDB5A">
      <w:pPr>
        <w:pStyle w:val="3"/>
        <w:numPr>
          <w:ilvl w:val="0"/>
          <w:numId w:val="8"/>
        </w:numPr>
        <w:spacing w:after="120" w:line="360" w:lineRule="auto"/>
        <w:rPr>
          <w:rFonts w:ascii="Times New Roman" w:hAnsi="Times New Roman"/>
          <w:sz w:val="24"/>
        </w:rPr>
      </w:pPr>
      <w:r>
        <w:rPr>
          <w:rFonts w:ascii="Times New Roman" w:hAnsi="Times New Roman"/>
          <w:sz w:val="24"/>
        </w:rPr>
        <w:t>Materials and Methods</w:t>
      </w:r>
    </w:p>
    <w:p w14:paraId="661B7DA5">
      <w:pPr>
        <w:rPr>
          <w:rFonts w:hint="eastAsia" w:ascii="Times New Roman" w:hAnsi="Times New Roman" w:eastAsia="SimSun"/>
          <w:sz w:val="24"/>
          <w:lang w:val="en-US" w:eastAsia="zh-CN"/>
        </w:rPr>
      </w:pPr>
      <w:r>
        <w:rPr>
          <w:rFonts w:hint="eastAsia" w:ascii="Times New Roman" w:hAnsi="Times New Roman" w:eastAsia="SimSun"/>
          <w:sz w:val="24"/>
          <w:lang w:val="en-US" w:eastAsia="zh-CN"/>
        </w:rPr>
        <w:t>Materials：</w:t>
      </w:r>
    </w:p>
    <w:p w14:paraId="612C25B8">
      <w:pPr>
        <w:numPr>
          <w:ilvl w:val="0"/>
          <w:numId w:val="0"/>
        </w:numPr>
        <w:rPr>
          <w:rFonts w:hint="default" w:eastAsia="SimSun"/>
          <w:lang w:val="en-US" w:eastAsia="zh-CN"/>
        </w:rPr>
      </w:pPr>
      <w:r>
        <w:rPr>
          <w:rFonts w:hint="eastAsia" w:eastAsia="SimSun"/>
          <w:lang w:val="en-US" w:eastAsia="zh-CN"/>
        </w:rPr>
        <w:t>1</w:t>
      </w:r>
    </w:p>
    <w:p w14:paraId="3CF99346">
      <w:pPr>
        <w:numPr>
          <w:ilvl w:val="0"/>
          <w:numId w:val="0"/>
        </w:numPr>
        <w:rPr>
          <w:rFonts w:hint="default" w:eastAsia="SimSun"/>
          <w:lang w:val="en-US" w:eastAsia="zh-CN"/>
        </w:rPr>
      </w:pPr>
      <w:r>
        <w:rPr>
          <w:rFonts w:hint="default" w:eastAsia="SimSun"/>
          <w:lang w:val="en-US" w:eastAsia="zh-CN"/>
        </w:rPr>
        <w:t>你如何系统性地检索文献；</w:t>
      </w:r>
    </w:p>
    <w:p w14:paraId="56009143">
      <w:pPr>
        <w:numPr>
          <w:ilvl w:val="0"/>
          <w:numId w:val="0"/>
        </w:numPr>
        <w:rPr>
          <w:rFonts w:hint="default" w:eastAsia="SimSun"/>
          <w:lang w:val="en-US" w:eastAsia="zh-CN"/>
        </w:rPr>
      </w:pPr>
    </w:p>
    <w:p w14:paraId="0D361F6C">
      <w:pPr>
        <w:numPr>
          <w:ilvl w:val="0"/>
          <w:numId w:val="0"/>
        </w:numPr>
        <w:rPr>
          <w:rFonts w:hint="default" w:eastAsia="SimSun"/>
          <w:lang w:val="en-US" w:eastAsia="zh-CN"/>
        </w:rPr>
      </w:pPr>
      <w:r>
        <w:rPr>
          <w:rFonts w:hint="default" w:eastAsia="SimSun"/>
          <w:lang w:val="en-US" w:eastAsia="zh-CN"/>
        </w:rPr>
        <w:t>使用了哪款软件（ASReview）、版本号、核心功能；</w:t>
      </w:r>
    </w:p>
    <w:p w14:paraId="2B5A5730">
      <w:pPr>
        <w:numPr>
          <w:ilvl w:val="0"/>
          <w:numId w:val="0"/>
        </w:numPr>
        <w:rPr>
          <w:rFonts w:hint="default" w:eastAsia="SimSun"/>
          <w:lang w:val="en-US" w:eastAsia="zh-CN"/>
        </w:rPr>
      </w:pPr>
    </w:p>
    <w:p w14:paraId="50834EF8">
      <w:pPr>
        <w:numPr>
          <w:ilvl w:val="0"/>
          <w:numId w:val="0"/>
        </w:numPr>
        <w:rPr>
          <w:rFonts w:hint="default" w:eastAsia="SimSun"/>
          <w:lang w:val="en-US" w:eastAsia="zh-CN"/>
        </w:rPr>
      </w:pPr>
      <w:r>
        <w:rPr>
          <w:rFonts w:hint="default" w:eastAsia="SimSun"/>
          <w:lang w:val="en-US" w:eastAsia="zh-CN"/>
        </w:rPr>
        <w:t>使用了哪些关键词；</w:t>
      </w:r>
    </w:p>
    <w:p w14:paraId="07B2D346">
      <w:pPr>
        <w:numPr>
          <w:ilvl w:val="0"/>
          <w:numId w:val="0"/>
        </w:numPr>
        <w:rPr>
          <w:rFonts w:hint="default" w:eastAsia="SimSun"/>
          <w:lang w:val="en-US" w:eastAsia="zh-CN"/>
        </w:rPr>
      </w:pPr>
    </w:p>
    <w:p w14:paraId="489A80FE">
      <w:pPr>
        <w:numPr>
          <w:ilvl w:val="0"/>
          <w:numId w:val="0"/>
        </w:numPr>
        <w:rPr>
          <w:rFonts w:hint="default" w:eastAsia="SimSun"/>
          <w:lang w:val="en-US" w:eastAsia="zh-CN"/>
        </w:rPr>
      </w:pPr>
      <w:r>
        <w:rPr>
          <w:rFonts w:hint="default" w:eastAsia="SimSun"/>
          <w:lang w:val="en-US" w:eastAsia="zh-CN"/>
        </w:rPr>
        <w:t>主动学习的流程（机器模型与人工复核如何结合）；</w:t>
      </w:r>
    </w:p>
    <w:p w14:paraId="56B57AF2">
      <w:pPr>
        <w:numPr>
          <w:ilvl w:val="0"/>
          <w:numId w:val="0"/>
        </w:numPr>
        <w:rPr>
          <w:rFonts w:hint="default" w:eastAsia="SimSun"/>
          <w:lang w:val="en-US" w:eastAsia="zh-CN"/>
        </w:rPr>
      </w:pPr>
    </w:p>
    <w:p w14:paraId="06685ECF">
      <w:pPr>
        <w:numPr>
          <w:ilvl w:val="0"/>
          <w:numId w:val="0"/>
        </w:numPr>
        <w:rPr>
          <w:rFonts w:hint="default" w:eastAsia="SimSun"/>
          <w:lang w:val="en-US" w:eastAsia="zh-CN"/>
        </w:rPr>
      </w:pPr>
      <w:r>
        <w:rPr>
          <w:rFonts w:hint="default" w:eastAsia="SimSun"/>
          <w:lang w:val="en-US" w:eastAsia="zh-CN"/>
        </w:rPr>
        <w:t>输出结果数量。</w:t>
      </w:r>
    </w:p>
    <w:p w14:paraId="13366E7E">
      <w:pPr>
        <w:numPr>
          <w:ilvl w:val="0"/>
          <w:numId w:val="0"/>
        </w:numPr>
        <w:rPr>
          <w:rFonts w:hint="default" w:eastAsia="SimSun"/>
          <w:lang w:val="en-US" w:eastAsia="zh-CN"/>
        </w:rPr>
      </w:pPr>
    </w:p>
    <w:p w14:paraId="4C1E3D1D">
      <w:pPr>
        <w:numPr>
          <w:ilvl w:val="0"/>
          <w:numId w:val="0"/>
        </w:numPr>
        <w:rPr>
          <w:rFonts w:hint="default" w:eastAsia="SimSun"/>
          <w:lang w:val="en-US" w:eastAsia="zh-CN"/>
        </w:rPr>
      </w:pPr>
      <w:r>
        <w:rPr>
          <w:rFonts w:hint="eastAsia" w:eastAsia="SimSun"/>
          <w:lang w:val="en-US" w:eastAsia="zh-CN"/>
        </w:rPr>
        <w:t>2</w:t>
      </w:r>
    </w:p>
    <w:p w14:paraId="218CAE7B">
      <w:pPr>
        <w:numPr>
          <w:ilvl w:val="0"/>
          <w:numId w:val="0"/>
        </w:numPr>
        <w:rPr>
          <w:rFonts w:hint="default" w:eastAsia="SimSun"/>
          <w:lang w:val="en-US" w:eastAsia="zh-CN"/>
        </w:rPr>
      </w:pPr>
      <w:r>
        <w:rPr>
          <w:rFonts w:hint="default" w:eastAsia="SimSun"/>
          <w:lang w:val="en-US" w:eastAsia="zh-CN"/>
        </w:rPr>
        <w:t>你具体使用了哪些语言模型（Sentence-BERT、SciBERT）；</w:t>
      </w:r>
    </w:p>
    <w:p w14:paraId="6BF7E066">
      <w:pPr>
        <w:numPr>
          <w:ilvl w:val="0"/>
          <w:numId w:val="0"/>
        </w:numPr>
        <w:rPr>
          <w:rFonts w:hint="default" w:eastAsia="SimSun"/>
          <w:lang w:val="en-US" w:eastAsia="zh-CN"/>
        </w:rPr>
      </w:pPr>
    </w:p>
    <w:p w14:paraId="1F69F2B8">
      <w:pPr>
        <w:numPr>
          <w:ilvl w:val="0"/>
          <w:numId w:val="0"/>
        </w:numPr>
        <w:rPr>
          <w:rFonts w:hint="default" w:eastAsia="SimSun"/>
          <w:lang w:val="en-US" w:eastAsia="zh-CN"/>
        </w:rPr>
      </w:pPr>
      <w:r>
        <w:rPr>
          <w:rFonts w:hint="default" w:eastAsia="SimSun"/>
          <w:lang w:val="en-US" w:eastAsia="zh-CN"/>
        </w:rPr>
        <w:t>微调方式（HuggingFace Transformers，PyTorch 环境）；</w:t>
      </w:r>
    </w:p>
    <w:p w14:paraId="4F3CE4E4">
      <w:pPr>
        <w:numPr>
          <w:ilvl w:val="0"/>
          <w:numId w:val="0"/>
        </w:numPr>
        <w:rPr>
          <w:rFonts w:hint="default" w:eastAsia="SimSun"/>
          <w:lang w:val="en-US" w:eastAsia="zh-CN"/>
        </w:rPr>
      </w:pPr>
    </w:p>
    <w:p w14:paraId="34DE463A">
      <w:pPr>
        <w:numPr>
          <w:ilvl w:val="0"/>
          <w:numId w:val="0"/>
        </w:numPr>
        <w:rPr>
          <w:rFonts w:hint="default" w:eastAsia="SimSun"/>
          <w:lang w:val="en-US" w:eastAsia="zh-CN"/>
        </w:rPr>
      </w:pPr>
      <w:r>
        <w:rPr>
          <w:rFonts w:hint="default" w:eastAsia="SimSun"/>
          <w:lang w:val="en-US" w:eastAsia="zh-CN"/>
        </w:rPr>
        <w:t>性能评估方法（5-fold CV + Precision/Recall/F1）；</w:t>
      </w:r>
    </w:p>
    <w:p w14:paraId="55CF9B05">
      <w:pPr>
        <w:numPr>
          <w:ilvl w:val="0"/>
          <w:numId w:val="0"/>
        </w:numPr>
        <w:rPr>
          <w:rFonts w:hint="default" w:eastAsia="SimSun"/>
          <w:lang w:val="en-US" w:eastAsia="zh-CN"/>
        </w:rPr>
      </w:pPr>
    </w:p>
    <w:p w14:paraId="3D3C746C">
      <w:pPr>
        <w:numPr>
          <w:ilvl w:val="0"/>
          <w:numId w:val="0"/>
        </w:numPr>
        <w:rPr>
          <w:rFonts w:hint="default" w:eastAsia="SimSun"/>
          <w:lang w:val="en-US" w:eastAsia="zh-CN"/>
        </w:rPr>
      </w:pPr>
      <w:r>
        <w:rPr>
          <w:rFonts w:hint="default" w:eastAsia="SimSun"/>
          <w:lang w:val="en-US" w:eastAsia="zh-CN"/>
        </w:rPr>
        <w:t>软件库。</w:t>
      </w:r>
    </w:p>
    <w:p w14:paraId="38DE1D3E">
      <w:pPr>
        <w:numPr>
          <w:ilvl w:val="0"/>
          <w:numId w:val="0"/>
        </w:numPr>
        <w:rPr>
          <w:rFonts w:hint="default" w:eastAsia="SimSun"/>
          <w:lang w:val="en-US" w:eastAsia="zh-CN"/>
        </w:rPr>
      </w:pPr>
    </w:p>
    <w:p w14:paraId="606EE717">
      <w:pPr>
        <w:numPr>
          <w:ilvl w:val="0"/>
          <w:numId w:val="0"/>
        </w:numPr>
        <w:rPr>
          <w:rFonts w:hint="default" w:eastAsia="SimSun"/>
          <w:lang w:val="en-US" w:eastAsia="zh-CN"/>
        </w:rPr>
      </w:pPr>
      <w:r>
        <w:rPr>
          <w:rFonts w:hint="eastAsia" w:eastAsia="SimSun"/>
          <w:lang w:val="en-US" w:eastAsia="zh-CN"/>
        </w:rPr>
        <w:t>3</w:t>
      </w:r>
    </w:p>
    <w:p w14:paraId="0E57C0E8">
      <w:pPr>
        <w:numPr>
          <w:ilvl w:val="0"/>
          <w:numId w:val="0"/>
        </w:numPr>
        <w:rPr>
          <w:rFonts w:hint="default" w:eastAsia="SimSun"/>
          <w:lang w:val="en-US" w:eastAsia="zh-CN"/>
        </w:rPr>
      </w:pPr>
      <w:r>
        <w:rPr>
          <w:rFonts w:hint="default" w:eastAsia="SimSun"/>
          <w:lang w:val="en-US" w:eastAsia="zh-CN"/>
        </w:rPr>
        <w:t>数据整合步骤（DOI 匹配、去重、跨物种突变映射）；</w:t>
      </w:r>
    </w:p>
    <w:p w14:paraId="0AF1DE45">
      <w:pPr>
        <w:numPr>
          <w:ilvl w:val="0"/>
          <w:numId w:val="0"/>
        </w:numPr>
        <w:rPr>
          <w:rFonts w:hint="default" w:eastAsia="SimSun"/>
          <w:lang w:val="en-US" w:eastAsia="zh-CN"/>
        </w:rPr>
      </w:pPr>
    </w:p>
    <w:p w14:paraId="2670339B">
      <w:pPr>
        <w:numPr>
          <w:ilvl w:val="0"/>
          <w:numId w:val="0"/>
        </w:numPr>
        <w:rPr>
          <w:rFonts w:hint="default" w:eastAsia="SimSun"/>
          <w:lang w:val="en-US" w:eastAsia="zh-CN"/>
        </w:rPr>
      </w:pPr>
      <w:r>
        <w:rPr>
          <w:rFonts w:hint="default" w:eastAsia="SimSun"/>
          <w:lang w:val="en-US" w:eastAsia="zh-CN"/>
        </w:rPr>
        <w:t>提及使用的辅助工具（Excel、Python、Biopython、Clustal Omega 等）；</w:t>
      </w:r>
    </w:p>
    <w:p w14:paraId="5F3EBDF7">
      <w:pPr>
        <w:numPr>
          <w:ilvl w:val="0"/>
          <w:numId w:val="0"/>
        </w:numPr>
        <w:rPr>
          <w:rFonts w:hint="default" w:eastAsia="SimSun"/>
          <w:lang w:val="en-US" w:eastAsia="zh-CN"/>
        </w:rPr>
      </w:pPr>
    </w:p>
    <w:p w14:paraId="255F7EE7">
      <w:pPr>
        <w:numPr>
          <w:ilvl w:val="0"/>
          <w:numId w:val="0"/>
        </w:numPr>
        <w:rPr>
          <w:rFonts w:hint="default" w:eastAsia="SimSun"/>
          <w:lang w:val="en-US" w:eastAsia="zh-CN"/>
        </w:rPr>
      </w:pPr>
      <w:r>
        <w:rPr>
          <w:rFonts w:hint="default" w:eastAsia="SimSun"/>
          <w:lang w:val="en-US" w:eastAsia="zh-CN"/>
        </w:rPr>
        <w:t>输出文件（newrifmutdata.xlsx）。</w:t>
      </w:r>
    </w:p>
    <w:p w14:paraId="7165D43F">
      <w:pPr>
        <w:numPr>
          <w:ilvl w:val="0"/>
          <w:numId w:val="0"/>
        </w:numPr>
        <w:rPr>
          <w:rFonts w:hint="default" w:eastAsia="SimSun"/>
          <w:lang w:val="en-US" w:eastAsia="zh-CN"/>
        </w:rPr>
      </w:pPr>
      <w:r>
        <w:rPr>
          <w:rFonts w:hint="eastAsia" w:eastAsia="SimSun"/>
          <w:lang w:val="en-US" w:eastAsia="zh-CN"/>
        </w:rPr>
        <w:t>4</w:t>
      </w:r>
    </w:p>
    <w:p w14:paraId="377439C7">
      <w:pPr>
        <w:numPr>
          <w:ilvl w:val="0"/>
          <w:numId w:val="0"/>
        </w:numPr>
        <w:rPr>
          <w:rFonts w:hint="default" w:eastAsia="SimSun"/>
          <w:lang w:val="en-US" w:eastAsia="zh-CN"/>
        </w:rPr>
      </w:pPr>
      <w:r>
        <w:rPr>
          <w:rFonts w:hint="default" w:eastAsia="SimSun"/>
          <w:lang w:val="en-US" w:eastAsia="zh-CN"/>
        </w:rPr>
        <w:t>输入数据矩阵（X_dense_high / X_dense_midhigh）；</w:t>
      </w:r>
    </w:p>
    <w:p w14:paraId="327FB199">
      <w:pPr>
        <w:numPr>
          <w:ilvl w:val="0"/>
          <w:numId w:val="0"/>
        </w:numPr>
        <w:rPr>
          <w:rFonts w:hint="default" w:eastAsia="SimSun"/>
          <w:lang w:val="en-US" w:eastAsia="zh-CN"/>
        </w:rPr>
      </w:pPr>
    </w:p>
    <w:p w14:paraId="1FB3B4C4">
      <w:pPr>
        <w:numPr>
          <w:ilvl w:val="0"/>
          <w:numId w:val="0"/>
        </w:numPr>
        <w:rPr>
          <w:rFonts w:hint="default" w:eastAsia="SimSun"/>
          <w:lang w:val="en-US" w:eastAsia="zh-CN"/>
        </w:rPr>
      </w:pPr>
      <w:r>
        <w:rPr>
          <w:rFonts w:hint="default" w:eastAsia="SimSun"/>
          <w:lang w:val="en-US" w:eastAsia="zh-CN"/>
        </w:rPr>
        <w:t>使用的降维算法与聚类算法；</w:t>
      </w:r>
    </w:p>
    <w:p w14:paraId="15F272C2">
      <w:pPr>
        <w:numPr>
          <w:ilvl w:val="0"/>
          <w:numId w:val="0"/>
        </w:numPr>
        <w:rPr>
          <w:rFonts w:hint="default" w:eastAsia="SimSun"/>
          <w:lang w:val="en-US" w:eastAsia="zh-CN"/>
        </w:rPr>
      </w:pPr>
    </w:p>
    <w:p w14:paraId="2F4C059F">
      <w:pPr>
        <w:numPr>
          <w:ilvl w:val="0"/>
          <w:numId w:val="0"/>
        </w:numPr>
        <w:rPr>
          <w:rFonts w:hint="default" w:eastAsia="SimSun"/>
          <w:lang w:val="en-US" w:eastAsia="zh-CN"/>
        </w:rPr>
      </w:pPr>
      <w:r>
        <w:rPr>
          <w:rFonts w:hint="default" w:eastAsia="SimSun"/>
          <w:lang w:val="en-US" w:eastAsia="zh-CN"/>
        </w:rPr>
        <w:t>软件与库；</w:t>
      </w:r>
    </w:p>
    <w:p w14:paraId="2F6BA731">
      <w:pPr>
        <w:numPr>
          <w:ilvl w:val="0"/>
          <w:numId w:val="0"/>
        </w:numPr>
        <w:rPr>
          <w:rFonts w:hint="default" w:eastAsia="SimSun"/>
          <w:lang w:val="en-US" w:eastAsia="zh-CN"/>
        </w:rPr>
      </w:pPr>
    </w:p>
    <w:p w14:paraId="7C873A9F">
      <w:pPr>
        <w:numPr>
          <w:ilvl w:val="0"/>
          <w:numId w:val="0"/>
        </w:numPr>
        <w:rPr>
          <w:rFonts w:hint="default" w:eastAsia="SimSun"/>
          <w:lang w:val="en-US" w:eastAsia="zh-CN"/>
        </w:rPr>
      </w:pPr>
      <w:r>
        <w:rPr>
          <w:rFonts w:hint="default" w:eastAsia="SimSun"/>
          <w:lang w:val="en-US" w:eastAsia="zh-CN"/>
        </w:rPr>
        <w:t>筛选 top methods 的依据（平均轮廓系数）。</w:t>
      </w:r>
    </w:p>
    <w:p w14:paraId="3FBF2A63">
      <w:pPr>
        <w:numPr>
          <w:ilvl w:val="0"/>
          <w:numId w:val="0"/>
        </w:numPr>
        <w:rPr>
          <w:rFonts w:hint="eastAsia" w:eastAsia="SimSun"/>
          <w:lang w:val="en-US" w:eastAsia="zh-CN"/>
        </w:rPr>
      </w:pPr>
      <w:r>
        <w:rPr>
          <w:rFonts w:hint="eastAsia" w:eastAsia="SimSun"/>
          <w:lang w:val="en-US" w:eastAsia="zh-CN"/>
        </w:rPr>
        <w:t>5</w:t>
      </w:r>
    </w:p>
    <w:p w14:paraId="41605FC1">
      <w:pPr>
        <w:numPr>
          <w:ilvl w:val="0"/>
          <w:numId w:val="0"/>
        </w:numPr>
        <w:rPr>
          <w:rFonts w:hint="default" w:eastAsia="SimSun"/>
          <w:lang w:val="en-US" w:eastAsia="zh-CN"/>
        </w:rPr>
      </w:pPr>
      <w:r>
        <w:rPr>
          <w:rFonts w:hint="default" w:eastAsia="SimSun"/>
          <w:lang w:val="en-US" w:eastAsia="zh-CN"/>
        </w:rPr>
        <w:t>说明：</w:t>
      </w:r>
    </w:p>
    <w:p w14:paraId="109138DC">
      <w:pPr>
        <w:numPr>
          <w:ilvl w:val="0"/>
          <w:numId w:val="0"/>
        </w:numPr>
        <w:rPr>
          <w:rFonts w:hint="default" w:eastAsia="SimSun"/>
          <w:lang w:val="en-US" w:eastAsia="zh-CN"/>
        </w:rPr>
      </w:pPr>
    </w:p>
    <w:p w14:paraId="3A8D1EE2">
      <w:pPr>
        <w:numPr>
          <w:ilvl w:val="0"/>
          <w:numId w:val="0"/>
        </w:numPr>
        <w:rPr>
          <w:rFonts w:hint="default" w:eastAsia="SimSun"/>
          <w:lang w:val="en-US" w:eastAsia="zh-CN"/>
        </w:rPr>
      </w:pPr>
      <w:r>
        <w:rPr>
          <w:rFonts w:hint="default" w:eastAsia="SimSun"/>
          <w:lang w:val="en-US" w:eastAsia="zh-CN"/>
        </w:rPr>
        <w:t>目的（验证模型能否学习已知突变规律）；</w:t>
      </w:r>
    </w:p>
    <w:p w14:paraId="5915222E">
      <w:pPr>
        <w:numPr>
          <w:ilvl w:val="0"/>
          <w:numId w:val="0"/>
        </w:numPr>
        <w:rPr>
          <w:rFonts w:hint="default" w:eastAsia="SimSun"/>
          <w:lang w:val="en-US" w:eastAsia="zh-CN"/>
        </w:rPr>
      </w:pPr>
    </w:p>
    <w:p w14:paraId="01913CBD">
      <w:pPr>
        <w:numPr>
          <w:ilvl w:val="0"/>
          <w:numId w:val="0"/>
        </w:numPr>
        <w:rPr>
          <w:rFonts w:hint="default" w:eastAsia="SimSun"/>
          <w:lang w:val="en-US" w:eastAsia="zh-CN"/>
        </w:rPr>
      </w:pPr>
      <w:r>
        <w:rPr>
          <w:rFonts w:hint="default" w:eastAsia="SimSun"/>
          <w:lang w:val="en-US" w:eastAsia="zh-CN"/>
        </w:rPr>
        <w:t>方法（PU-learning, Random Forest）；</w:t>
      </w:r>
    </w:p>
    <w:p w14:paraId="47A62A71">
      <w:pPr>
        <w:numPr>
          <w:ilvl w:val="0"/>
          <w:numId w:val="0"/>
        </w:numPr>
        <w:rPr>
          <w:rFonts w:hint="default" w:eastAsia="SimSun"/>
          <w:lang w:val="en-US" w:eastAsia="zh-CN"/>
        </w:rPr>
      </w:pPr>
    </w:p>
    <w:p w14:paraId="12A4372B">
      <w:pPr>
        <w:numPr>
          <w:ilvl w:val="0"/>
          <w:numId w:val="0"/>
        </w:numPr>
        <w:rPr>
          <w:rFonts w:hint="default" w:eastAsia="SimSun"/>
          <w:lang w:val="en-US" w:eastAsia="zh-CN"/>
        </w:rPr>
      </w:pPr>
      <w:r>
        <w:rPr>
          <w:rFonts w:hint="default" w:eastAsia="SimSun"/>
          <w:lang w:val="en-US" w:eastAsia="zh-CN"/>
        </w:rPr>
        <w:t>软件与实现（Scikit-learn）；</w:t>
      </w:r>
    </w:p>
    <w:p w14:paraId="79822F8F">
      <w:pPr>
        <w:numPr>
          <w:ilvl w:val="0"/>
          <w:numId w:val="0"/>
        </w:numPr>
        <w:rPr>
          <w:rFonts w:hint="default" w:eastAsia="SimSun"/>
          <w:lang w:val="en-US" w:eastAsia="zh-CN"/>
        </w:rPr>
      </w:pPr>
    </w:p>
    <w:p w14:paraId="3936BA15">
      <w:pPr>
        <w:numPr>
          <w:ilvl w:val="0"/>
          <w:numId w:val="0"/>
        </w:numPr>
        <w:rPr>
          <w:rFonts w:hint="default" w:eastAsia="SimSun"/>
          <w:lang w:val="en-US" w:eastAsia="zh-CN"/>
        </w:rPr>
      </w:pPr>
      <w:r>
        <w:rPr>
          <w:rFonts w:hint="default" w:eastAsia="SimSun"/>
          <w:lang w:val="en-US" w:eastAsia="zh-CN"/>
        </w:rPr>
        <w:t>评估策略（Mask–then–Recover + Recall@K）。</w:t>
      </w:r>
    </w:p>
    <w:p w14:paraId="5A39724E">
      <w:pPr>
        <w:numPr>
          <w:ilvl w:val="0"/>
          <w:numId w:val="0"/>
        </w:numPr>
        <w:rPr>
          <w:rFonts w:hint="default" w:eastAsia="SimSun"/>
          <w:lang w:val="en-US" w:eastAsia="zh-CN"/>
        </w:rPr>
      </w:pPr>
    </w:p>
    <w:p w14:paraId="4557345F">
      <w:pPr>
        <w:rPr>
          <w:rFonts w:hint="eastAsia" w:ascii="Times New Roman" w:hAnsi="Times New Roman" w:eastAsia="SimSun"/>
          <w:sz w:val="24"/>
          <w:lang w:val="en-US" w:eastAsia="zh-CN"/>
        </w:rPr>
      </w:pPr>
    </w:p>
    <w:p w14:paraId="2CA7581D">
      <w:pPr>
        <w:rPr>
          <w:rFonts w:hint="eastAsia" w:ascii="Times New Roman" w:hAnsi="Times New Roman" w:eastAsia="SimSun"/>
          <w:sz w:val="24"/>
          <w:lang w:val="en-US" w:eastAsia="zh-CN"/>
        </w:rPr>
      </w:pPr>
    </w:p>
    <w:p w14:paraId="28D054A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Methods:</w:t>
      </w:r>
    </w:p>
    <w:p w14:paraId="7B35C63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 Methods</w:t>
      </w:r>
    </w:p>
    <w:p w14:paraId="736C94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 Data Sources and Literature Screening</w:t>
      </w:r>
    </w:p>
    <w:p w14:paraId="03D2E66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2.1.1 Literature Search and Active Learning (ASReview)</w:t>
      </w:r>
    </w:p>
    <w:p w14:paraId="449FFCCF">
      <w:pPr>
        <w:numPr>
          <w:ilvl w:val="0"/>
          <w:numId w:val="0"/>
        </w:numPr>
        <w:rPr>
          <w:rFonts w:hint="eastAsia" w:ascii="Times New Roman" w:hAnsi="Times New Roman" w:eastAsia="SimSun"/>
          <w:sz w:val="24"/>
          <w:lang w:val="en-US" w:eastAsia="zh-CN"/>
        </w:rPr>
      </w:pPr>
    </w:p>
    <w:p w14:paraId="394A352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systematically collect literature reporting on rifampicin (RIF) resistance mutations, this study first tested multiple keyword combinations on the Web of Science website, including "RIF," "resistance," and "mutant screen," to search for as many articles as possible containing experimentally generated RIF resistance mutation data.</w:t>
      </w:r>
    </w:p>
    <w:p w14:paraId="475730A2">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 search query was: ((rifampicin OR rifampin) AND (resistance OR resistant) AND (mutation OR polymorphism OR variant)).</w:t>
      </w:r>
    </w:p>
    <w:p w14:paraId="2DBDD94E">
      <w:pPr>
        <w:numPr>
          <w:ilvl w:val="0"/>
          <w:numId w:val="0"/>
        </w:numPr>
        <w:rPr>
          <w:rFonts w:hint="eastAsia" w:ascii="Times New Roman" w:hAnsi="Times New Roman" w:eastAsia="SimSun"/>
          <w:sz w:val="24"/>
          <w:lang w:val="en-US" w:eastAsia="zh-CN"/>
        </w:rPr>
      </w:pPr>
    </w:p>
    <w:p w14:paraId="0763C6EB">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Then, at the recommendation of my supervisor, I used the open-source active learning platform ASReview (version 1.3.1) for semi-automated screening.</w:t>
      </w:r>
    </w:p>
    <w:p w14:paraId="506A59F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initially importing the literature, ASReview continuously updated the ranking using an active learning algorithm to maximize the model's efficiency in identifying relevant literature. The researchers manually annotated the first 109 articles in the system, obtaining 46 relevant samples as the initial training set. This was then combined with three rounds of model disagreement sampling, ultimately yielding a total of 335 labeled articles.</w:t>
      </w:r>
    </w:p>
    <w:p w14:paraId="54CA2C37">
      <w:pPr>
        <w:numPr>
          <w:ilvl w:val="0"/>
          <w:numId w:val="0"/>
        </w:numPr>
        <w:rPr>
          <w:rFonts w:hint="eastAsia" w:ascii="Times New Roman" w:hAnsi="Times New Roman" w:eastAsia="SimSun"/>
          <w:sz w:val="24"/>
          <w:lang w:val="en-US" w:eastAsia="zh-CN"/>
        </w:rPr>
      </w:pPr>
    </w:p>
    <w:p w14:paraId="74F1F0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2.2 Language Model Fine-tuning and Document Classification</w:t>
      </w:r>
    </w:p>
    <w:p w14:paraId="59E4512F">
      <w:pPr>
        <w:numPr>
          <w:ilvl w:val="0"/>
          <w:numId w:val="0"/>
        </w:numPr>
        <w:rPr>
          <w:rFonts w:hint="eastAsia" w:ascii="Times New Roman" w:hAnsi="Times New Roman" w:eastAsia="SimSun"/>
          <w:sz w:val="24"/>
          <w:lang w:val="en-US" w:eastAsia="zh-CN"/>
        </w:rPr>
      </w:pPr>
    </w:p>
    <w:p w14:paraId="348BD887">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further automatically identify articles with potential drug-resistant mutations, two models based on deep language representation were used: Sentence-BERT (all-MiniLM-L6-v2) and SciBERT (allenai/scibert_scivocab_uncased).</w:t>
      </w:r>
    </w:p>
    <w:p w14:paraId="1C5DDB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Model fine-tuning was performed in Python 3.10, relying on HuggingFace Transformers (v4.30) and PyTorch (v2.0).</w:t>
      </w:r>
    </w:p>
    <w:p w14:paraId="4906F8D1">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Stratified 5-fold cross-validation was performed on each model on the 334 annotated samples, and the average precision, recall, and F1 score were calculated. The SciBERT model performed best (Precision = 0.41 ± 0.07, Recall = 0.83 ± 0.07, F1 = 0.54 ± 0.04) and was therefore used to predict the remaining unannotated articles.</w:t>
      </w:r>
    </w:p>
    <w:p w14:paraId="5F1AD993">
      <w:pPr>
        <w:numPr>
          <w:ilvl w:val="0"/>
          <w:numId w:val="0"/>
        </w:numPr>
        <w:rPr>
          <w:rFonts w:hint="eastAsia" w:ascii="Times New Roman" w:hAnsi="Times New Roman" w:eastAsia="SimSun"/>
          <w:sz w:val="24"/>
          <w:lang w:val="en-US" w:eastAsia="zh-CN"/>
        </w:rPr>
      </w:pPr>
    </w:p>
    <w:p w14:paraId="40EF329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2.3 Integration and Standardization of New Mutation Data</w:t>
      </w:r>
    </w:p>
    <w:p w14:paraId="4C174996">
      <w:pPr>
        <w:numPr>
          <w:ilvl w:val="0"/>
          <w:numId w:val="0"/>
        </w:numPr>
        <w:rPr>
          <w:rFonts w:hint="eastAsia" w:ascii="Times New Roman" w:hAnsi="Times New Roman" w:eastAsia="SimSun"/>
          <w:sz w:val="24"/>
          <w:lang w:val="en-US" w:eastAsia="zh-CN"/>
        </w:rPr>
      </w:pPr>
    </w:p>
    <w:p w14:paraId="7F37D9A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comparing the candidate articles predicted by the model with the existing mutation database, a total of 37 duplicate articles, 170 newly added articles, and 11 articles without DOI records were identified.</w:t>
      </w:r>
    </w:p>
    <w:p w14:paraId="33E204BF">
      <w:pPr>
        <w:numPr>
          <w:ilvl w:val="0"/>
          <w:numId w:val="0"/>
        </w:numPr>
        <w:rPr>
          <w:rFonts w:hint="eastAsia" w:ascii="Times New Roman" w:hAnsi="Times New Roman" w:eastAsia="SimSun"/>
          <w:sz w:val="24"/>
          <w:lang w:val="en-US" w:eastAsia="zh-CN"/>
        </w:rPr>
      </w:pPr>
    </w:p>
    <w:p w14:paraId="4272E7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For newly added articles, the mutation site, amino acid substitution pattern, and species of origin were extracted.</w:t>
      </w:r>
    </w:p>
    <w:p w14:paraId="59F4A22D">
      <w:pPr>
        <w:numPr>
          <w:ilvl w:val="0"/>
          <w:numId w:val="0"/>
        </w:numPr>
        <w:rPr>
          <w:rFonts w:hint="eastAsia" w:ascii="Times New Roman" w:hAnsi="Times New Roman" w:eastAsia="SimSun"/>
          <w:sz w:val="24"/>
          <w:lang w:val="en-US" w:eastAsia="zh-CN"/>
        </w:rPr>
      </w:pPr>
    </w:p>
    <w:p w14:paraId="36C8FA5A">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If the mutation originated from a species other than E. coli, Clustal Omega (v1.2.4) was used for sequence alignment, and the mutation position was mapped to the corresponding site in E. coli.</w:t>
      </w:r>
    </w:p>
    <w:p w14:paraId="2BBBD599">
      <w:pPr>
        <w:numPr>
          <w:ilvl w:val="0"/>
          <w:numId w:val="0"/>
        </w:numPr>
        <w:rPr>
          <w:rFonts w:hint="eastAsia" w:ascii="Times New Roman" w:hAnsi="Times New Roman" w:eastAsia="SimSun"/>
          <w:sz w:val="24"/>
          <w:lang w:val="en-US" w:eastAsia="zh-CN"/>
        </w:rPr>
      </w:pPr>
    </w:p>
    <w:p w14:paraId="745D34EF">
      <w:pPr>
        <w:numPr>
          <w:ilvl w:val="0"/>
          <w:numId w:val="0"/>
        </w:numPr>
        <w:rPr>
          <w:rFonts w:hint="default" w:eastAsia="SimSun"/>
          <w:lang w:val="en-US" w:eastAsia="zh-CN"/>
        </w:rPr>
      </w:pPr>
      <w:r>
        <w:rPr>
          <w:rFonts w:hint="eastAsia" w:ascii="Times New Roman" w:hAnsi="Times New Roman" w:eastAsia="SimSun"/>
          <w:sz w:val="24"/>
          <w:lang w:val="en-US" w:eastAsia="zh-CN"/>
        </w:rPr>
        <w:t>The resulting standardized mutation table (latestnewdata.xlsx) includes a uniformly formatted amino acid position (AA_pos), mutation pattern (AA_change), species name, and reference number.</w:t>
      </w:r>
    </w:p>
    <w:p w14:paraId="347606CC">
      <w:pPr>
        <w:numPr>
          <w:ilvl w:val="0"/>
          <w:numId w:val="0"/>
        </w:numPr>
        <w:rPr>
          <w:rFonts w:hint="default" w:eastAsia="SimSun"/>
          <w:lang w:val="en-US" w:eastAsia="zh-CN"/>
        </w:rPr>
      </w:pPr>
      <w:r>
        <w:rPr>
          <w:rFonts w:hint="default" w:eastAsia="SimSun"/>
          <w:lang w:val="en-US" w:eastAsia="zh-CN"/>
        </w:rPr>
        <w:t>2.4 Unsupervised ML</w:t>
      </w:r>
    </w:p>
    <w:p w14:paraId="73CA43CB">
      <w:pPr>
        <w:numPr>
          <w:ilvl w:val="0"/>
          <w:numId w:val="0"/>
        </w:numPr>
        <w:rPr>
          <w:rFonts w:hint="default" w:eastAsia="SimSun"/>
          <w:lang w:val="en-US" w:eastAsia="zh-CN"/>
        </w:rPr>
      </w:pPr>
    </w:p>
    <w:p w14:paraId="4028EB23">
      <w:pPr>
        <w:numPr>
          <w:ilvl w:val="0"/>
          <w:numId w:val="0"/>
        </w:numPr>
        <w:rPr>
          <w:rFonts w:hint="default" w:eastAsia="SimSun"/>
          <w:lang w:val="en-US" w:eastAsia="zh-CN"/>
        </w:rPr>
      </w:pPr>
    </w:p>
    <w:p w14:paraId="366A83EC">
      <w:pPr>
        <w:numPr>
          <w:ilvl w:val="0"/>
          <w:numId w:val="0"/>
        </w:numPr>
        <w:rPr>
          <w:rFonts w:hint="default" w:eastAsia="SimSun"/>
          <w:lang w:val="en-US" w:eastAsia="zh-CN"/>
        </w:rPr>
      </w:pPr>
      <w:r>
        <w:rPr>
          <w:rFonts w:hint="default" w:eastAsia="SimSun"/>
          <w:lang w:val="en-US" w:eastAsia="zh-CN"/>
        </w:rPr>
        <w:t>To identify the clustering structure of mutation spectra across species, the authors first constructed a binary mutation matrix X_dense (rows = species, columns = mutations) using the Lab mutant dataset generated in the previous step.</w:t>
      </w:r>
      <w:r>
        <w:rPr>
          <w:rStyle w:val="134"/>
          <w:rFonts w:hint="eastAsia"/>
          <w:b/>
          <w:bCs/>
          <w:lang w:val="en-US" w:eastAsia="zh-CN"/>
        </w:rPr>
        <w:t>To make the results more readable and intuitive, the authors filtered the species × mutation matrix (X_dense) for species with low confounder scores (i.e., &lt;0.3).</w:t>
      </w:r>
    </w:p>
    <w:p w14:paraId="0BC4B100">
      <w:pPr>
        <w:numPr>
          <w:ilvl w:val="0"/>
          <w:numId w:val="0"/>
        </w:numPr>
        <w:rPr>
          <w:rFonts w:hint="default" w:eastAsia="SimSun"/>
          <w:lang w:val="en-US" w:eastAsia="zh-CN"/>
        </w:rPr>
      </w:pPr>
      <w:r>
        <w:rPr>
          <w:rFonts w:hint="eastAsia" w:eastAsia="SimSun"/>
          <w:lang w:val="en-US" w:eastAsia="zh-CN"/>
        </w:rPr>
        <w:t>Besids,</w:t>
      </w:r>
      <w:r>
        <w:rPr>
          <w:rFonts w:hint="default" w:eastAsia="SimSun"/>
          <w:lang w:val="en-US" w:eastAsia="zh-CN"/>
        </w:rPr>
        <w:t>after multiple attempts at plotting, the authors removed data from several species because their mutation data had too low overlap with other species. This was likely due to a misalignment in the coordinate system constructed using E. coli as the standard, or other issues beyond the scope of this project, leading to manual filtering.</w:t>
      </w:r>
    </w:p>
    <w:p w14:paraId="794B1698">
      <w:pPr>
        <w:numPr>
          <w:ilvl w:val="0"/>
          <w:numId w:val="0"/>
        </w:numPr>
        <w:rPr>
          <w:rFonts w:hint="default" w:eastAsia="SimSun"/>
          <w:lang w:val="en-US" w:eastAsia="zh-CN"/>
        </w:rPr>
      </w:pPr>
      <w:r>
        <w:rPr>
          <w:rFonts w:hint="default" w:eastAsia="SimSun"/>
          <w:lang w:val="en-US" w:eastAsia="zh-CN"/>
        </w:rPr>
        <w:t>UMAP (uwot v0.1.15) was used for nonlinear dimensionality reduction (n_neighbors=15, min_dist=0.3, seed=123). Four clustering algorithms were then applied to the embedding space: HDBSCAN (dbscan v1.1.11), DBSCAN, k-means, and GMM (mclust v6.0).</w:t>
      </w:r>
    </w:p>
    <w:p w14:paraId="429094F0">
      <w:pPr>
        <w:numPr>
          <w:ilvl w:val="0"/>
          <w:numId w:val="0"/>
        </w:numPr>
        <w:rPr>
          <w:rFonts w:hint="default" w:eastAsia="SimSun"/>
          <w:lang w:val="en-US" w:eastAsia="zh-CN"/>
        </w:rPr>
      </w:pPr>
      <w:r>
        <w:rPr>
          <w:rFonts w:hint="default" w:eastAsia="SimSun"/>
          <w:lang w:val="en-US" w:eastAsia="zh-CN"/>
        </w:rPr>
        <w:t>Three distance metrics (Euclidean, Manhattan, and Cosine) were combined to generate 12 schemes. The average silhouette score is calculated for each combination. The top three methods are selected based on the scores: Cosine–HDBSCAN, Euclidean–GMM, and Euclidean–HDBSCAN. The clustering results are visualized on their UMAP embeddings.</w:t>
      </w:r>
    </w:p>
    <w:p w14:paraId="0002139E">
      <w:pPr>
        <w:numPr>
          <w:ilvl w:val="0"/>
          <w:numId w:val="0"/>
        </w:numPr>
        <w:rPr>
          <w:rFonts w:hint="default" w:eastAsia="SimSun"/>
          <w:lang w:val="en-US" w:eastAsia="zh-CN"/>
        </w:rPr>
      </w:pPr>
      <w:r>
        <w:rPr>
          <w:rFonts w:hint="default" w:eastAsia="SimSun"/>
          <w:lang w:val="en-US" w:eastAsia="zh-CN"/>
        </w:rPr>
        <w:t>2.5 Supervised ML</w:t>
      </w:r>
    </w:p>
    <w:p w14:paraId="6919D8CE">
      <w:pPr>
        <w:numPr>
          <w:ilvl w:val="0"/>
          <w:numId w:val="0"/>
        </w:numPr>
        <w:rPr>
          <w:rFonts w:hint="default" w:eastAsia="SimSun"/>
          <w:lang w:val="en-US" w:eastAsia="zh-CN"/>
        </w:rPr>
      </w:pPr>
    </w:p>
    <w:p w14:paraId="0F9EE9CF">
      <w:pPr>
        <w:numPr>
          <w:ilvl w:val="0"/>
          <w:numId w:val="0"/>
        </w:numPr>
        <w:rPr>
          <w:rFonts w:hint="default" w:eastAsia="SimSun"/>
          <w:lang w:val="en-US" w:eastAsia="zh-CN"/>
        </w:rPr>
      </w:pPr>
      <w:r>
        <w:rPr>
          <w:rFonts w:hint="default" w:eastAsia="SimSun"/>
          <w:lang w:val="en-US" w:eastAsia="zh-CN"/>
        </w:rPr>
        <w:t>Using the clustering results and confounder score from unsupervised clustering, the authors narrowed the species and mutations used for training and prediction. They then trained a supervised learning model to test its ability to learn the distribution patterns of drug-resistant mutations.</w:t>
      </w:r>
    </w:p>
    <w:p w14:paraId="3569B87B">
      <w:pPr>
        <w:numPr>
          <w:ilvl w:val="0"/>
          <w:numId w:val="0"/>
        </w:numPr>
        <w:rPr>
          <w:rFonts w:hint="default" w:eastAsia="SimSun"/>
          <w:lang w:val="en-US" w:eastAsia="zh-CN"/>
        </w:rPr>
      </w:pPr>
      <w:r>
        <w:rPr>
          <w:rFonts w:hint="default" w:eastAsia="SimSun"/>
          <w:lang w:val="en-US" w:eastAsia="zh-CN"/>
        </w:rPr>
        <w:t>Using the Positive–Unlabeled Learning (PU-learning) framework, a binary classification model based on Random Forest (scikit-learn v1.3) was trained using known drug-resistant mutations as positive examples and unlabeled mutations as background samples. Furthermore, since the ALJE team had already collected a considerable number of "non-laboratory" mutations, the authors excluded these mutations from their predictions to ensure the "novelty" of the final results. A "novel mutation" is defined as one that does not appear in our compiled set of previously observed non-lab mutations after mapping all records to a unified E. coli rpoB amino-acid coordinate system.</w:t>
      </w:r>
    </w:p>
    <w:p w14:paraId="2F07F19B">
      <w:pPr>
        <w:numPr>
          <w:ilvl w:val="0"/>
          <w:numId w:val="0"/>
        </w:numPr>
        <w:rPr>
          <w:rFonts w:hint="default" w:eastAsia="SimSun"/>
          <w:lang w:val="en-US" w:eastAsia="zh-CN"/>
        </w:rPr>
      </w:pPr>
    </w:p>
    <w:p w14:paraId="4A126925">
      <w:pPr>
        <w:numPr>
          <w:ilvl w:val="0"/>
          <w:numId w:val="0"/>
        </w:numPr>
        <w:rPr>
          <w:rFonts w:hint="default" w:eastAsia="SimSun"/>
          <w:lang w:val="en-US" w:eastAsia="zh-CN"/>
        </w:rPr>
      </w:pPr>
      <w:r>
        <w:rPr>
          <w:rFonts w:hint="default" w:eastAsia="SimSun"/>
          <w:lang w:val="en-US" w:eastAsia="zh-CN"/>
        </w:rPr>
        <w:t>To evaluate the generalization ability of the model, a "mask-then-recover" strategy was employed: some positive mutations were randomly masked and then observed to see if the model could recover these mutations in the top K predictions.</w:t>
      </w:r>
    </w:p>
    <w:p w14:paraId="30099D65">
      <w:pPr>
        <w:numPr>
          <w:ilvl w:val="0"/>
          <w:numId w:val="0"/>
        </w:numPr>
        <w:rPr>
          <w:rFonts w:hint="default" w:eastAsia="SimSun"/>
          <w:lang w:val="en-US" w:eastAsia="zh-CN"/>
        </w:rPr>
      </w:pPr>
    </w:p>
    <w:p w14:paraId="0A5F8FF6">
      <w:pPr>
        <w:numPr>
          <w:ilvl w:val="0"/>
          <w:numId w:val="0"/>
        </w:numPr>
        <w:rPr>
          <w:rFonts w:hint="default" w:eastAsia="SimSun"/>
          <w:lang w:val="en-US" w:eastAsia="zh-CN"/>
        </w:rPr>
      </w:pPr>
      <w:r>
        <w:rPr>
          <w:rFonts w:hint="default" w:eastAsia="SimSun"/>
          <w:lang w:val="en-US" w:eastAsia="zh-CN"/>
        </w:rPr>
        <w:t>Top-K Strategy: Select the top K mutations with the highest predicted probability for each species. Threshold Strategy: Select mutations with p_true ≥ τ(0.7). Generate a list of candidate mutations for subsequent analysis and experimental verification.</w:t>
      </w:r>
    </w:p>
    <w:p w14:paraId="471E1B6C">
      <w:pPr>
        <w:numPr>
          <w:ilvl w:val="0"/>
          <w:numId w:val="0"/>
        </w:numPr>
        <w:rPr>
          <w:rFonts w:hint="default" w:eastAsia="SimSun"/>
          <w:lang w:val="en-US" w:eastAsia="zh-CN"/>
        </w:rPr>
      </w:pPr>
    </w:p>
    <w:p w14:paraId="0F67A26D">
      <w:pPr>
        <w:numPr>
          <w:ilvl w:val="0"/>
          <w:numId w:val="0"/>
        </w:numPr>
        <w:rPr>
          <w:rFonts w:hint="default" w:eastAsia="SimSun"/>
          <w:lang w:val="en-US" w:eastAsia="zh-CN"/>
        </w:rPr>
      </w:pPr>
      <w:r>
        <w:rPr>
          <w:rFonts w:hint="default" w:eastAsia="SimSun"/>
          <w:lang w:val="en-US" w:eastAsia="zh-CN"/>
        </w:rPr>
        <w:t>Model performance was measured using Recall@K, Precision, and ROC-AUC metrics, and was analyzed using the ROI-based validation dataset. The results were averaged from 100 repeated experiments.</w:t>
      </w:r>
    </w:p>
    <w:p w14:paraId="7CB3D239">
      <w:pPr>
        <w:numPr>
          <w:ilvl w:val="0"/>
          <w:numId w:val="0"/>
        </w:numPr>
        <w:rPr>
          <w:rFonts w:hint="default" w:eastAsia="SimSun"/>
          <w:lang w:val="en-US" w:eastAsia="zh-CN"/>
        </w:rPr>
      </w:pPr>
      <w:r>
        <w:rPr>
          <w:rFonts w:hint="default" w:eastAsia="SimSun"/>
          <w:lang w:val="en-US" w:eastAsia="zh-CN"/>
        </w:rPr>
        <w:t>2.6 Visualization and statistical analysis</w:t>
      </w:r>
    </w:p>
    <w:p w14:paraId="6D073445">
      <w:pPr>
        <w:numPr>
          <w:ilvl w:val="0"/>
          <w:numId w:val="0"/>
        </w:numPr>
        <w:rPr>
          <w:rFonts w:hint="default" w:eastAsia="SimSun"/>
          <w:lang w:val="en-US" w:eastAsia="zh-CN"/>
        </w:rPr>
      </w:pPr>
    </w:p>
    <w:p w14:paraId="006B908A">
      <w:pPr>
        <w:numPr>
          <w:ilvl w:val="0"/>
          <w:numId w:val="0"/>
        </w:numPr>
        <w:rPr>
          <w:rFonts w:hint="default" w:eastAsia="SimSun"/>
          <w:lang w:val="en-US" w:eastAsia="zh-CN"/>
        </w:rPr>
      </w:pPr>
    </w:p>
    <w:p w14:paraId="157B46E2">
      <w:pPr>
        <w:numPr>
          <w:ilvl w:val="0"/>
          <w:numId w:val="0"/>
        </w:numPr>
        <w:rPr>
          <w:rFonts w:hint="default" w:eastAsia="SimSun"/>
          <w:lang w:val="en-US" w:eastAsia="zh-CN"/>
        </w:rPr>
      </w:pPr>
    </w:p>
    <w:p w14:paraId="3D0C3AFC">
      <w:pPr>
        <w:numPr>
          <w:ilvl w:val="0"/>
          <w:numId w:val="0"/>
        </w:numPr>
        <w:rPr>
          <w:rFonts w:hint="default" w:eastAsia="SimSun"/>
          <w:lang w:val="en-US" w:eastAsia="zh-CN"/>
        </w:rPr>
      </w:pPr>
    </w:p>
    <w:p w14:paraId="3355995D">
      <w:pPr>
        <w:numPr>
          <w:ilvl w:val="0"/>
          <w:numId w:val="0"/>
        </w:numPr>
        <w:rPr>
          <w:rFonts w:hint="default" w:eastAsia="SimSun"/>
          <w:lang w:val="en-US" w:eastAsia="zh-CN"/>
        </w:rPr>
      </w:pPr>
      <w:r>
        <w:rPr>
          <w:rFonts w:hint="default" w:eastAsia="SimSun"/>
          <w:lang w:val="en-US" w:eastAsia="zh-CN"/>
        </w:rPr>
        <w:t>所有可视化分析均在 R (version 4.3.1) 环境中完成，主要使用 ggplot2 (v3.4.4)、ComplexHeatmap (v2.16) 与 UpSetR (v1.4.0)。</w:t>
      </w:r>
    </w:p>
    <w:p w14:paraId="0054CF47">
      <w:pPr>
        <w:numPr>
          <w:ilvl w:val="0"/>
          <w:numId w:val="0"/>
        </w:numPr>
        <w:rPr>
          <w:rFonts w:hint="default" w:eastAsia="SimSun"/>
          <w:lang w:val="en-US" w:eastAsia="zh-CN"/>
        </w:rPr>
      </w:pPr>
      <w:r>
        <w:rPr>
          <w:rFonts w:hint="default" w:eastAsia="SimSun"/>
          <w:lang w:val="en-US" w:eastAsia="zh-CN"/>
        </w:rPr>
        <w:t>热图用于展示突变分布与聚类一致性；</w:t>
      </w:r>
    </w:p>
    <w:p w14:paraId="1409F932">
      <w:pPr>
        <w:numPr>
          <w:ilvl w:val="0"/>
          <w:numId w:val="0"/>
        </w:numPr>
        <w:rPr>
          <w:rFonts w:hint="default" w:eastAsia="SimSun"/>
          <w:lang w:val="en-US" w:eastAsia="zh-CN"/>
        </w:rPr>
      </w:pPr>
      <w:r>
        <w:rPr>
          <w:rFonts w:hint="default" w:eastAsia="SimSun"/>
          <w:lang w:val="en-US" w:eastAsia="zh-CN"/>
        </w:rPr>
        <w:t>UpSet 图用于展示突变交集结构；</w:t>
      </w:r>
    </w:p>
    <w:p w14:paraId="45ACE6DB">
      <w:pPr>
        <w:numPr>
          <w:ilvl w:val="0"/>
          <w:numId w:val="0"/>
        </w:numPr>
        <w:rPr>
          <w:rFonts w:hint="default" w:eastAsia="SimSun"/>
          <w:lang w:val="en-US" w:eastAsia="zh-CN"/>
        </w:rPr>
      </w:pPr>
      <w:r>
        <w:rPr>
          <w:rFonts w:hint="default" w:eastAsia="SimSun"/>
          <w:lang w:val="en-US" w:eastAsia="zh-CN"/>
        </w:rPr>
        <w:t>统计检验包括 Fisher 精确检验与 Benjamini–Hochberg FDR 校正。</w:t>
      </w:r>
    </w:p>
    <w:p w14:paraId="4D8C14AD">
      <w:pPr>
        <w:pStyle w:val="3"/>
        <w:numPr>
          <w:ilvl w:val="0"/>
          <w:numId w:val="9"/>
        </w:numPr>
        <w:spacing w:after="120" w:line="360" w:lineRule="auto"/>
        <w:rPr>
          <w:rFonts w:ascii="Times New Roman" w:hAnsi="Times New Roman"/>
          <w:sz w:val="24"/>
        </w:rPr>
      </w:pPr>
      <w:r>
        <w:rPr>
          <w:rFonts w:ascii="Times New Roman" w:hAnsi="Times New Roman"/>
          <w:sz w:val="24"/>
        </w:rPr>
        <w:t>Results</w:t>
      </w:r>
    </w:p>
    <w:p w14:paraId="06E62E0E">
      <w:pPr>
        <w:rPr>
          <w:rFonts w:ascii="Times New Roman" w:hAnsi="Times New Roman"/>
          <w:sz w:val="24"/>
        </w:rPr>
      </w:pPr>
    </w:p>
    <w:p w14:paraId="05E0776C">
      <w:pPr>
        <w:rPr>
          <w:rStyle w:val="134"/>
          <w:rFonts w:hint="eastAsia"/>
          <w:b/>
          <w:bCs/>
          <w:lang w:val="en-US" w:eastAsia="zh-CN"/>
        </w:rPr>
      </w:pPr>
      <w:r>
        <w:rPr>
          <w:rStyle w:val="134"/>
          <w:rFonts w:hint="eastAsia"/>
          <w:b/>
          <w:bCs/>
          <w:lang w:val="en-US" w:eastAsia="zh-CN"/>
        </w:rPr>
        <w:t>Clustering results are systematically compared all combinations of three distance metrics (Euclidean, Manhattan, and Cosine) and four clustering algorithms (HDBSCAN, k-means, DBSCAN, and GMM). Each combination was first embedded in two dimensions using UMAP with uniform parameters (n_neighbors=15, min_dist=0.3, and seed=123). Clustering was then performed on the embedded space (minPts and eps were used for HDBSCAN/DBSCAN, k=4 for k-means, and optimality was automatically chosen for GMM). To mitigate noise, the average silhouette coefficient was calculated only on valid samples (with positive cluster labels and ≥2 clusters) as a quality metric. The top_k methods were selected from the highest to lowest silhouette coefficients. If restrict_metric is set, the optimization is performed within the specified metric; otherwise, the optimization is performed across all combinations. Scores and labels for all solutions were exported and archived to ensure reproducibility.</w:t>
      </w:r>
    </w:p>
    <w:p w14:paraId="5E970F09">
      <w:pPr>
        <w:rPr>
          <w:rStyle w:val="134"/>
          <w:rFonts w:hint="eastAsia"/>
          <w:b/>
          <w:bCs/>
          <w:lang w:val="en-US" w:eastAsia="zh-CN"/>
        </w:rPr>
      </w:pPr>
      <w:r>
        <w:rPr>
          <w:rStyle w:val="134"/>
          <w:rFonts w:hint="eastAsia"/>
          <w:b/>
          <w:bCs/>
          <w:lang w:val="en-US" w:eastAsia="zh-CN"/>
        </w:rPr>
        <w:t>For the top-selected methods, we present their UMAP projections and corresponding cluster heatmaps (all mutations and Top-30 versions) to compare the consistency and differences in clustering achieved by different algorithms in the mutation spectrum space.</w:t>
      </w:r>
    </w:p>
    <w:p w14:paraId="794D4E72">
      <w:pPr>
        <w:rPr>
          <w:rStyle w:val="134"/>
          <w:rFonts w:hint="eastAsia"/>
          <w:b/>
          <w:bCs/>
          <w:lang w:val="en-US" w:eastAsia="zh-CN"/>
        </w:rPr>
      </w:pPr>
    </w:p>
    <w:p w14:paraId="02018EDC">
      <w:pPr>
        <w:rPr>
          <w:rStyle w:val="134"/>
          <w:rFonts w:hint="eastAsia"/>
          <w:b/>
          <w:bCs/>
          <w:lang w:val="en-US" w:eastAsia="zh-CN"/>
        </w:rPr>
      </w:pPr>
      <w:r>
        <w:rPr>
          <w:rStyle w:val="134"/>
          <w:rFonts w:hint="eastAsia"/>
          <w:b/>
          <w:bCs/>
          <w:lang w:val="en-US" w:eastAsia="zh-CN"/>
        </w:rPr>
        <w:t>Based on the parameters of the X_dense_midhigh matrix, this study performed multi-algorithm clustering and visualization analysis of mutation distribution patterns across species. To verify the robustness and consistency of the clustering results, we used three top-performing clustering methods: Cosine–HDBSCAN, Euclidean–GMM, and Euclidean–HDBSCAN.</w:t>
      </w:r>
    </w:p>
    <w:p w14:paraId="41EA8880">
      <w:pPr>
        <w:rPr>
          <w:rStyle w:val="134"/>
          <w:rFonts w:hint="eastAsia"/>
          <w:b/>
          <w:bCs/>
          <w:lang w:val="en-US" w:eastAsia="zh-CN"/>
        </w:rPr>
      </w:pPr>
      <w:r>
        <w:rPr>
          <w:rStyle w:val="134"/>
          <w:rFonts w:hint="eastAsia"/>
          <w:b/>
          <w:bCs/>
          <w:lang w:val="en-US" w:eastAsia="zh-CN"/>
        </w:rPr>
        <w:t>The HDBSCAN algorithm automatically identifies clusters and excludes noise points in non-spherical data, while the GMM (Gaussian Mixture Model) captures the underlying continuous distribution of the data through probability density modeling. All three methods take a standardized mutation presence matrix as input. The dimensionality reduction and visualization uses the UMAP (Uniform Manifold Approximation and Projection) algorithm to preserve local topological relationships between samples. The UMAP scatter plot ( ) shows the distribution and cluster boundaries of each species in the two-dimensional latent space using the three methods. Different colors represent different cluster labels, which can intuitively reflect the similarity of mutational profiles between species. For example, Cosine–HDBSCAN effectively groups species with highly similar mutational profiles into the same cluster; Euclidean–GMM shows a relatively regular distribution with clear boundaries; and Euclidean–HDBSCAN demonstrates higher resolution when dealing with intermediate or noisy species. Overall, the cluster structures obtained by the three methods are highly consistent, indicating that mutational patterns are stable and reproducible across different metric spaces.</w:t>
      </w:r>
    </w:p>
    <w:p w14:paraId="394E6929">
      <w:pPr>
        <w:rPr>
          <w:rStyle w:val="134"/>
          <w:rFonts w:hint="eastAsia"/>
          <w:b/>
          <w:bCs/>
          <w:lang w:val="en-US" w:eastAsia="zh-CN"/>
        </w:rPr>
      </w:pPr>
      <w:r>
        <w:rPr>
          <w:rStyle w:val="134"/>
          <w:rFonts w:hint="eastAsia"/>
          <w:b/>
          <w:bCs/>
          <w:lang w:val="en-US" w:eastAsia="zh-CN"/>
        </w:rPr>
        <w:t>The heatmap ( ) further illustrates the shared mutations among species within each cluster. Rows represent species, columns represent mutation sites, and colors indicate the presence or absence of mutations (1/0). The color bars on the sides correspond to the cluster numbers in the UMAP clustering results. It can be seen that different clusters exhibit distinct complementarity or specificity in mutation distribution. For example, Cluster 0 is primarily concentrated in RRDR core mutations (such as D516, H526, and S531), while Cluster 2 is enriched in marginal or low-frequency mutations (such as Q148R and L533R). These clustering characteristics indicate that the mutation spectrum has certain phylogenetic and evolutionary differentiation characteristics.</w:t>
      </w:r>
    </w:p>
    <w:p w14:paraId="2A5FACEA">
      <w:pPr>
        <w:rPr>
          <w:rStyle w:val="134"/>
          <w:rFonts w:hint="eastAsia"/>
          <w:b w:val="0"/>
          <w:bCs w:val="0"/>
          <w:lang w:val="en-US" w:eastAsia="zh-CN"/>
        </w:rPr>
      </w:pPr>
    </w:p>
    <w:p w14:paraId="23DF0DD2">
      <w:pPr>
        <w:rPr>
          <w:rStyle w:val="134"/>
          <w:rFonts w:hint="eastAsia"/>
          <w:b w:val="0"/>
          <w:bCs w:val="0"/>
          <w:lang w:val="en-US" w:eastAsia="zh-CN"/>
        </w:rPr>
      </w:pPr>
    </w:p>
    <w:p w14:paraId="04AE6304">
      <w:pPr>
        <w:rPr>
          <w:rStyle w:val="134"/>
          <w:rFonts w:hint="eastAsia"/>
          <w:b w:val="0"/>
          <w:bCs w:val="0"/>
          <w:lang w:val="en-US" w:eastAsia="zh-CN"/>
        </w:rPr>
      </w:pPr>
    </w:p>
    <w:p w14:paraId="5048E788">
      <w:pPr>
        <w:rPr>
          <w:rFonts w:hint="default"/>
        </w:rPr>
      </w:pPr>
      <w:r>
        <w:rPr>
          <w:rFonts w:hint="default"/>
        </w:rPr>
        <w:t>Clustering Framework Overview</w:t>
      </w:r>
    </w:p>
    <w:p w14:paraId="14602035">
      <w:pPr>
        <w:rPr>
          <w:rFonts w:hint="default"/>
        </w:rPr>
      </w:pPr>
    </w:p>
    <w:p w14:paraId="4FEB4092">
      <w:pPr>
        <w:rPr>
          <w:rFonts w:hint="default"/>
        </w:rPr>
      </w:pPr>
      <w:r>
        <w:rPr>
          <w:rFonts w:hint="default"/>
        </w:rPr>
        <w:t>Based on the X_dense_midhigh matrix, the authors used three top-performing clustering methods: Cosine–HDBSCAN, Euclidean–GMM, and Euclidean–HDBSCAN. All three methods take a normalized mutation presence matrix as input and employ the Unified Mapping (UMAP) algorithm for dimensionality reduction and visualization, preserving local topological relationships between samples.</w:t>
      </w:r>
    </w:p>
    <w:p w14:paraId="75C27409">
      <w:pPr>
        <w:rPr>
          <w:rFonts w:hint="eastAsia" w:eastAsia="SimSun"/>
          <w:lang w:eastAsia="zh-CN"/>
        </w:rPr>
      </w:pPr>
      <w:r>
        <w:rPr>
          <w:rFonts w:hint="default"/>
        </w:rPr>
        <w:t>The UMAP scatter plots show the distribution and cluster boundaries of each species in the two-dimensional latent space using the three methods, with different colors representing different cluster labels.</w:t>
      </w:r>
      <w:r>
        <w:br w:type="textWrapping"/>
      </w:r>
      <w:r>
        <w:rPr>
          <w:rFonts w:hint="eastAsia" w:eastAsia="SimSun"/>
          <w:lang w:eastAsia="zh-CN"/>
        </w:rPr>
        <w:drawing>
          <wp:inline distT="0" distB="0" distL="114300" distR="114300">
            <wp:extent cx="6162040" cy="2054225"/>
            <wp:effectExtent l="0" t="0" r="10160" b="3175"/>
            <wp:docPr id="11" name="图片 11" descr="FIG_UMAP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UMAP_abc_base"/>
                    <pic:cNvPicPr>
                      <a:picLocks noChangeAspect="1"/>
                    </pic:cNvPicPr>
                  </pic:nvPicPr>
                  <pic:blipFill>
                    <a:blip r:embed="rId6"/>
                    <a:stretch>
                      <a:fillRect/>
                    </a:stretch>
                  </pic:blipFill>
                  <pic:spPr>
                    <a:xfrm>
                      <a:off x="0" y="0"/>
                      <a:ext cx="6162040" cy="2054225"/>
                    </a:xfrm>
                    <a:prstGeom prst="rect">
                      <a:avLst/>
                    </a:prstGeom>
                  </pic:spPr>
                </pic:pic>
              </a:graphicData>
            </a:graphic>
          </wp:inline>
        </w:drawing>
      </w:r>
    </w:p>
    <w:p w14:paraId="0797F216">
      <w:pPr>
        <w:rPr>
          <w:rFonts w:hint="eastAsia" w:eastAsia="SimSun"/>
          <w:lang w:eastAsia="zh-CN"/>
        </w:rPr>
      </w:pPr>
    </w:p>
    <w:p w14:paraId="6BFCCE59">
      <w:pPr>
        <w:rPr>
          <w:rFonts w:hint="default"/>
          <w:b/>
          <w:bCs/>
        </w:rPr>
      </w:pPr>
      <w:r>
        <w:rPr>
          <w:rFonts w:hint="default"/>
          <w:b/>
          <w:bCs/>
        </w:rPr>
        <w:t>Mutation Distribution and Intra-Cluster Characteristics</w:t>
      </w:r>
    </w:p>
    <w:p w14:paraId="0C132D72">
      <w:pPr>
        <w:rPr>
          <w:rFonts w:hint="default"/>
        </w:rPr>
      </w:pPr>
    </w:p>
    <w:p w14:paraId="01A21221">
      <w:pPr>
        <w:rPr>
          <w:rFonts w:hint="default"/>
        </w:rPr>
      </w:pPr>
      <w:r>
        <w:rPr>
          <w:rFonts w:hint="default"/>
        </w:rPr>
        <w:t>The heatmap further illustrates the shared mutations among species within each cluster. Rows represent species, columns represent mutation sites, and colors indicate the presence or absence of mutations.</w:t>
      </w:r>
    </w:p>
    <w:p w14:paraId="28624E49">
      <w:r>
        <w:rPr>
          <w:rFonts w:hint="default"/>
        </w:rPr>
        <w:t>The color bars on the sides correspond to the cluster numbers in the UMAP clustering results. Different clusters exhibit distinct complementarities or specificities in their mutation distributions.</w:t>
      </w:r>
      <w:r>
        <w:br w:type="textWrapping"/>
      </w:r>
    </w:p>
    <w:p w14:paraId="1EADFF50"/>
    <w:p w14:paraId="3BF85EFE"/>
    <w:p w14:paraId="3338CBF7">
      <w:r>
        <w:br w:type="textWrapping"/>
      </w:r>
    </w:p>
    <w:p w14:paraId="45B60082">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Analysis of the best clustering methods reveals that the best clustering method for mid-high-level data is cosine–HDBSCAN, followed by euclidean–GMM.</w:t>
      </w:r>
    </w:p>
    <w:p w14:paraId="099518C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Both algorithms tend to capture density differences and multimodal distributions.</w:t>
      </w:r>
    </w:p>
    <w:p w14:paraId="456FC62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"density difference" can be seen in the changes in the UpSet graph:</w:t>
      </w:r>
    </w:p>
    <w:p w14:paraId="70948F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Top 10 species → one or two density peaks (highly shared mutations);</w:t>
      </w:r>
    </w:p>
    <w:p w14:paraId="566067D1">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Mid-high → multiple flat peaks (local commonality but overall sparseness).</w:t>
      </w:r>
    </w:p>
    <w:p w14:paraId="1D94E6F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suggests that the broadened species dimension of the UpSet graph already reflects the tendency of your cluster structure to become sparser at the mutation level.</w:t>
      </w:r>
    </w:p>
    <w:p w14:paraId="64A86148">
      <w:pPr>
        <w:rPr>
          <w:rStyle w:val="134"/>
          <w:rFonts w:hint="eastAsia"/>
          <w:b/>
          <w:bCs/>
          <w:lang w:val="en-US" w:eastAsia="zh-CN"/>
        </w:rPr>
      </w:pPr>
      <w:r>
        <w:rPr>
          <w:rStyle w:val="134"/>
          <w:rFonts w:hint="eastAsia"/>
          <w:b/>
          <w:bCs/>
          <w:lang w:val="en-US" w:eastAsia="zh-CN"/>
        </w:rPr>
        <w:drawing>
          <wp:inline distT="0" distB="0" distL="114300" distR="114300">
            <wp:extent cx="5687060" cy="2166620"/>
            <wp:effectExtent l="0" t="0" r="12700" b="12700"/>
            <wp:docPr id="10" name="图片 10" descr="FIG_HeatmapTop30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HeatmapTop30_abc_base"/>
                    <pic:cNvPicPr>
                      <a:picLocks noChangeAspect="1"/>
                    </pic:cNvPicPr>
                  </pic:nvPicPr>
                  <pic:blipFill>
                    <a:blip r:embed="rId7"/>
                    <a:stretch>
                      <a:fillRect/>
                    </a:stretch>
                  </pic:blipFill>
                  <pic:spPr>
                    <a:xfrm>
                      <a:off x="0" y="0"/>
                      <a:ext cx="5687060" cy="2166620"/>
                    </a:xfrm>
                    <a:prstGeom prst="rect">
                      <a:avLst/>
                    </a:prstGeom>
                  </pic:spPr>
                </pic:pic>
              </a:graphicData>
            </a:graphic>
          </wp:inline>
        </w:drawing>
      </w:r>
    </w:p>
    <w:p w14:paraId="0B740CD2">
      <w:pPr>
        <w:rPr>
          <w:rStyle w:val="134"/>
          <w:rFonts w:hint="eastAsia"/>
          <w:b/>
          <w:bCs/>
          <w:lang w:val="en-US" w:eastAsia="zh-CN"/>
        </w:rPr>
      </w:pPr>
      <w:r>
        <w:rPr>
          <w:rStyle w:val="134"/>
          <w:rFonts w:hint="eastAsia"/>
          <w:b/>
          <w:bCs/>
          <w:lang w:val="en-US" w:eastAsia="zh-CN"/>
        </w:rPr>
        <w:t>Comparison of Clustering Patterns at Different Confounder Levels</w:t>
      </w:r>
    </w:p>
    <w:p w14:paraId="4849A946">
      <w:pPr>
        <w:rPr>
          <w:rStyle w:val="134"/>
          <w:rFonts w:hint="eastAsia"/>
          <w:b w:val="0"/>
          <w:bCs w:val="0"/>
          <w:lang w:val="en-US" w:eastAsia="zh-CN"/>
        </w:rPr>
      </w:pPr>
    </w:p>
    <w:p w14:paraId="060EA2C6">
      <w:pPr>
        <w:rPr>
          <w:rStyle w:val="134"/>
          <w:rFonts w:hint="eastAsia"/>
          <w:b w:val="0"/>
          <w:bCs w:val="0"/>
          <w:lang w:val="en-US" w:eastAsia="zh-CN"/>
        </w:rPr>
      </w:pPr>
      <w:r>
        <w:rPr>
          <w:rStyle w:val="134"/>
          <w:rFonts w:hint="eastAsia"/>
          <w:b w:val="0"/>
          <w:bCs w:val="0"/>
          <w:lang w:val="en-US" w:eastAsia="zh-CN"/>
        </w:rPr>
        <w:t>To ensure that clustering results are not significantly biased towards highly studied species versus less studied ones, the authors specifically compared clustering results for data with high confounder and mid-high confounder levels.</w:t>
      </w:r>
    </w:p>
    <w:p w14:paraId="36AA7FA2">
      <w:pPr>
        <w:rPr>
          <w:rStyle w:val="134"/>
          <w:rFonts w:hint="eastAsia"/>
          <w:b w:val="0"/>
          <w:bCs w:val="0"/>
          <w:lang w:val="en-US" w:eastAsia="zh-CN"/>
        </w:rPr>
      </w:pPr>
    </w:p>
    <w:p w14:paraId="6EAC5FAC">
      <w:pPr>
        <w:rPr>
          <w:rStyle w:val="134"/>
          <w:rFonts w:hint="eastAsia"/>
          <w:b w:val="0"/>
          <w:bCs w:val="0"/>
          <w:lang w:val="en-US" w:eastAsia="zh-CN"/>
        </w:rPr>
      </w:pPr>
      <w:r>
        <w:rPr>
          <w:rStyle w:val="134"/>
          <w:rFonts w:hint="eastAsia"/>
          <w:b w:val="0"/>
          <w:bCs w:val="0"/>
          <w:lang w:val="en-US" w:eastAsia="zh-CN"/>
        </w:rPr>
        <w:t>Despite varying noise levels, the clustering structures obtained by the three methods are generally consistent, demonstrating that mutation patterns are robust and reproducible across different metric spaces.</w:t>
      </w:r>
    </w:p>
    <w:p w14:paraId="4C392C38">
      <w:pPr>
        <w:rPr>
          <w:rStyle w:val="134"/>
          <w:rFonts w:hint="eastAsia" w:eastAsia="SimSun"/>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2" name="图片 2" descr="heatmap_COSINE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eatmap_COSINE_GMM_top30_simple"/>
                    <pic:cNvPicPr>
                      <a:picLocks noChangeAspect="1"/>
                    </pic:cNvPicPr>
                  </pic:nvPicPr>
                  <pic:blipFill>
                    <a:blip r:embed="rId8"/>
                    <a:stretch>
                      <a:fillRect/>
                    </a:stretch>
                  </pic:blipFill>
                  <pic:spPr>
                    <a:xfrm>
                      <a:off x="0" y="0"/>
                      <a:ext cx="5486400" cy="3657600"/>
                    </a:xfrm>
                    <a:prstGeom prst="rect">
                      <a:avLst/>
                    </a:prstGeom>
                  </pic:spPr>
                </pic:pic>
              </a:graphicData>
            </a:graphic>
          </wp:inline>
        </w:drawing>
      </w:r>
    </w:p>
    <w:p w14:paraId="5D8FCC64">
      <w:pPr>
        <w:rPr>
          <w:rStyle w:val="134"/>
          <w:rFonts w:hint="default"/>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8" name="图片 8" descr="heatmap_EUCLIDEAN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tmap_EUCLIDEAN_GMM_top30_simple"/>
                    <pic:cNvPicPr>
                      <a:picLocks noChangeAspect="1"/>
                    </pic:cNvPicPr>
                  </pic:nvPicPr>
                  <pic:blipFill>
                    <a:blip r:embed="rId9"/>
                    <a:stretch>
                      <a:fillRect/>
                    </a:stretch>
                  </pic:blipFill>
                  <pic:spPr>
                    <a:xfrm>
                      <a:off x="0" y="0"/>
                      <a:ext cx="5486400" cy="3657600"/>
                    </a:xfrm>
                    <a:prstGeom prst="rect">
                      <a:avLst/>
                    </a:prstGeom>
                  </pic:spPr>
                </pic:pic>
              </a:graphicData>
            </a:graphic>
          </wp:inline>
        </w:drawing>
      </w:r>
    </w:p>
    <w:p w14:paraId="0B8D7100">
      <w:pPr>
        <w:rPr>
          <w:rStyle w:val="134"/>
          <w:rFonts w:hint="eastAsia"/>
          <w:b w:val="0"/>
          <w:bCs w:val="0"/>
          <w:lang w:val="en-US" w:eastAsia="zh-CN"/>
        </w:rPr>
      </w:pPr>
    </w:p>
    <w:p w14:paraId="794E5D10">
      <w:pPr>
        <w:rPr>
          <w:rStyle w:val="134"/>
          <w:rFonts w:hint="eastAsia"/>
          <w:b/>
          <w:bCs/>
          <w:lang w:val="en-US" w:eastAsia="zh-CN"/>
        </w:rPr>
      </w:pPr>
      <w:r>
        <w:rPr>
          <w:rStyle w:val="134"/>
          <w:rFonts w:hint="eastAsia"/>
          <w:b/>
          <w:bCs/>
          <w:lang w:val="en-US" w:eastAsia="zh-CN"/>
        </w:rPr>
        <w:t>Mutation Intersection Relationships (UpSet Analysis)</w:t>
      </w:r>
    </w:p>
    <w:p w14:paraId="05CE0D1B">
      <w:pPr>
        <w:rPr>
          <w:rStyle w:val="134"/>
          <w:rFonts w:hint="eastAsia"/>
          <w:b w:val="0"/>
          <w:bCs w:val="0"/>
          <w:lang w:val="en-US" w:eastAsia="zh-CN"/>
        </w:rPr>
      </w:pPr>
    </w:p>
    <w:p w14:paraId="3BCDC3C6">
      <w:pPr>
        <w:rPr>
          <w:rStyle w:val="134"/>
          <w:rFonts w:hint="eastAsia"/>
          <w:b w:val="0"/>
          <w:bCs w:val="0"/>
          <w:lang w:val="en-US" w:eastAsia="zh-CN"/>
        </w:rPr>
      </w:pPr>
      <w:r>
        <w:rPr>
          <w:rStyle w:val="134"/>
          <w:rFonts w:hint="eastAsia"/>
          <w:b w:val="0"/>
          <w:bCs w:val="0"/>
          <w:lang w:val="en-US" w:eastAsia="zh-CN"/>
        </w:rPr>
        <w:t>UpSet plots demonstrate the shared mutation relationships between species. Species are set elements, and the bar graphs represent the size of the intersections.</w:t>
      </w:r>
    </w:p>
    <w:p w14:paraId="765C4811">
      <w:pPr>
        <w:rPr>
          <w:rStyle w:val="134"/>
          <w:rFonts w:hint="eastAsia"/>
          <w:b w:val="0"/>
          <w:bCs w:val="0"/>
          <w:lang w:val="en-US" w:eastAsia="zh-CN"/>
        </w:rPr>
      </w:pPr>
    </w:p>
    <w:p w14:paraId="5CB46404">
      <w:pPr>
        <w:rPr>
          <w:rStyle w:val="134"/>
          <w:rFonts w:hint="eastAsia"/>
          <w:b w:val="0"/>
          <w:bCs w:val="0"/>
          <w:lang w:val="en-US" w:eastAsia="zh-CN"/>
        </w:rPr>
      </w:pPr>
      <w:r>
        <w:rPr>
          <w:rStyle w:val="134"/>
          <w:rFonts w:hint="eastAsia"/>
          <w:b w:val="0"/>
          <w:bCs w:val="0"/>
          <w:lang w:val="en-US" w:eastAsia="zh-CN"/>
        </w:rPr>
        <w:t>In the mid-high dataset, some bacterial genera (e.g., Pseudomonas and Bacillus) share multiple high-frequency rpoB mutation sites, suggesting convergence in resistance mechanisms across lineages.</w:t>
      </w:r>
    </w:p>
    <w:p w14:paraId="7505870B">
      <w:pPr>
        <w:pStyle w:val="30"/>
        <w:keepNext w:val="0"/>
        <w:keepLines w:val="0"/>
        <w:widowControl/>
        <w:suppressLineNumbers w:val="0"/>
        <w:rPr>
          <w:rFonts w:hint="eastAsia" w:ascii="SimSun" w:hAnsi="SimSun" w:eastAsia="SimSun" w:cs="SimSun"/>
          <w:sz w:val="24"/>
        </w:rPr>
      </w:pPr>
      <w:r>
        <w:rPr>
          <w:rStyle w:val="134"/>
          <w:rFonts w:hint="eastAsia"/>
          <w:b/>
          <w:bCs/>
          <w:lang w:val="en-US" w:eastAsia="zh-CN"/>
        </w:rPr>
        <w:drawing>
          <wp:inline distT="0" distB="0" distL="114300" distR="114300">
            <wp:extent cx="5472430" cy="3283585"/>
            <wp:effectExtent l="0" t="0" r="13970" b="8255"/>
            <wp:docPr id="18" name="图片 18"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r>
        <w:rPr>
          <w:rFonts w:hint="eastAsia" w:ascii="SimSun" w:hAnsi="SimSun" w:eastAsia="SimSun" w:cs="SimSun"/>
          <w:sz w:val="24"/>
        </w:rPr>
        <w:t xml:space="preserve"> </w:t>
      </w:r>
    </w:p>
    <w:p w14:paraId="649A278E">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blue horizontal bar on the left (Set Size) represents the total number of mutations in each species (set), that is, the number of mutations possessed by that species.</w:t>
      </w:r>
    </w:p>
    <w:p w14:paraId="631E99E0">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longer the blue bar, the greater the total number of mutations in that species.</w:t>
      </w:r>
    </w:p>
    <w:p w14:paraId="420B75E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dot matrix at the bottom (Sets) represents the intersection of different species combinations.</w:t>
      </w:r>
    </w:p>
    <w:p w14:paraId="1C3E5CCA">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Each vertical column corresponds to a species combination; a black dot indicates that the species is included in the set, and a gray dot indicates that it is not.</w:t>
      </w:r>
    </w:p>
    <w:p w14:paraId="0FBFD48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A line connecting multiple black dots in a column indicates that those species share the same set of mutations.</w:t>
      </w:r>
    </w:p>
    <w:p w14:paraId="6AA1B5D5">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black bar above (Intersection Size) represents the number of mutations shared by that species combination.</w:t>
      </w:r>
    </w:p>
    <w:p w14:paraId="221360E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taller the bar, the more mutations are shared among the species in that group.</w:t>
      </w:r>
    </w:p>
    <w:p w14:paraId="5902DC18">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Some mutations are shared by a very large number of species (for example, 20 species share certain mutations).</w:t>
      </w:r>
    </w:p>
    <w:p w14:paraId="4A2DBB08">
      <w:pPr>
        <w:pStyle w:val="30"/>
        <w:keepNext w:val="0"/>
        <w:keepLines w:val="0"/>
        <w:widowControl/>
        <w:suppressLineNumbers w:val="0"/>
        <w:rPr>
          <w:rFonts w:hint="default" w:ascii="Times New Roman" w:hAnsi="Times New Roman" w:eastAsia="SimSun" w:cs="Times New Roman"/>
          <w:b/>
          <w:bCs/>
          <w:sz w:val="24"/>
        </w:rPr>
      </w:pPr>
      <w:r>
        <w:rPr>
          <w:rFonts w:hint="default" w:ascii="Times New Roman" w:hAnsi="Times New Roman" w:eastAsia="SimSun" w:cs="Times New Roman"/>
          <w:b/>
          <w:bCs/>
          <w:sz w:val="24"/>
        </w:rPr>
        <w:t>Only a few mutations are widely distributed across multiple species, while most mutations occur in only a few species.</w:t>
      </w:r>
    </w:p>
    <w:p w14:paraId="72FF269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distribution of mutations across species is significantly uneven.</w:t>
      </w:r>
    </w:p>
    <w:p w14:paraId="34BF5E0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Certain core mutation combinations are common across multiple species, potentially reflecting conserved drug resistance mechanisms.</w:t>
      </w:r>
    </w:p>
    <w:p w14:paraId="07C9027F">
      <w:pPr>
        <w:rPr>
          <w:rStyle w:val="134"/>
          <w:rFonts w:hint="eastAsia"/>
          <w:b/>
          <w:bCs/>
          <w:lang w:val="en-US" w:eastAsia="zh-CN"/>
        </w:rPr>
      </w:pPr>
      <w:r>
        <w:rPr>
          <w:rFonts w:hint="eastAsia" w:ascii="SimSun" w:hAnsi="SimSun" w:eastAsia="SimSun" w:cs="SimSun"/>
          <w:sz w:val="24"/>
        </w:rPr>
        <w:t xml:space="preserve">  </w:t>
      </w:r>
    </w:p>
    <w:p w14:paraId="2095A922">
      <w:pPr>
        <w:rPr>
          <w:rStyle w:val="134"/>
          <w:rFonts w:hint="eastAsia"/>
          <w:b/>
          <w:bCs/>
          <w:lang w:val="en-US" w:eastAsia="zh-CN"/>
        </w:rPr>
      </w:pPr>
      <w:r>
        <w:rPr>
          <w:rStyle w:val="134"/>
          <w:rFonts w:hint="eastAsia"/>
          <w:b/>
          <w:bCs/>
          <w:lang w:val="en-US" w:eastAsia="zh-CN"/>
        </w:rPr>
        <w:drawing>
          <wp:inline distT="0" distB="0" distL="114300" distR="114300">
            <wp:extent cx="5486400" cy="3429000"/>
            <wp:effectExtent l="0" t="0" r="0" b="0"/>
            <wp:docPr id="19" name="图片 19"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op10mut_species_upset"/>
                    <pic:cNvPicPr>
                      <a:picLocks noChangeAspect="1"/>
                    </pic:cNvPicPr>
                  </pic:nvPicPr>
                  <pic:blipFill>
                    <a:blip r:embed="rId11"/>
                    <a:stretch>
                      <a:fillRect/>
                    </a:stretch>
                  </pic:blipFill>
                  <pic:spPr>
                    <a:xfrm>
                      <a:off x="0" y="0"/>
                      <a:ext cx="5486400" cy="3429000"/>
                    </a:xfrm>
                    <a:prstGeom prst="rect">
                      <a:avLst/>
                    </a:prstGeom>
                  </pic:spPr>
                </pic:pic>
              </a:graphicData>
            </a:graphic>
          </wp:inline>
        </w:drawing>
      </w:r>
    </w:p>
    <w:p w14:paraId="6D3F6EF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red horizontal bar on the left (Selected mutation frequency) indicates the number of species in which each mutation occurs. Longer red bars indicate more common mutations.</w:t>
      </w:r>
    </w:p>
    <w:p w14:paraId="0B3FCD44">
      <w:pPr>
        <w:rPr>
          <w:rStyle w:val="134"/>
          <w:rFonts w:hint="default" w:ascii="Times New Roman" w:hAnsi="Times New Roman" w:cs="Times New Roman"/>
          <w:b w:val="0"/>
          <w:bCs w:val="0"/>
          <w:lang w:val="en-US" w:eastAsia="zh-CN"/>
        </w:rPr>
      </w:pPr>
    </w:p>
    <w:p w14:paraId="368116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bottom matrix (Sets): Each column represents a mutation combination (i.e., which mutations co-occur in the same species).</w:t>
      </w:r>
    </w:p>
    <w:p w14:paraId="125BA77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 black dot indicates that the mutation is included in the set, and a line connecting the dots indicates that these mutations co-occur.</w:t>
      </w:r>
    </w:p>
    <w:p w14:paraId="23053027">
      <w:pPr>
        <w:rPr>
          <w:rStyle w:val="134"/>
          <w:rFonts w:hint="default" w:ascii="Times New Roman" w:hAnsi="Times New Roman" w:cs="Times New Roman"/>
          <w:b w:val="0"/>
          <w:bCs w:val="0"/>
          <w:lang w:val="en-US" w:eastAsia="zh-CN"/>
        </w:rPr>
      </w:pPr>
    </w:p>
    <w:p w14:paraId="333E20E7">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upper bars (Number of species): Show how many species share that set of mutations.</w:t>
      </w:r>
    </w:p>
    <w:p w14:paraId="3C789714">
      <w:pPr>
        <w:rPr>
          <w:rStyle w:val="134"/>
          <w:rFonts w:hint="default" w:ascii="Times New Roman" w:hAnsi="Times New Roman" w:cs="Times New Roman"/>
          <w:b w:val="0"/>
          <w:bCs w:val="0"/>
          <w:lang w:val="en-US" w:eastAsia="zh-CN"/>
        </w:rPr>
      </w:pPr>
    </w:p>
    <w:p w14:paraId="2A160688">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taller the bar, the higher the bar on the far left, is 4, indicating that four species share the mutation combination shown in that column (typically including the classic combination of S531F and H526Y).</w:t>
      </w:r>
    </w:p>
    <w:p w14:paraId="3B4E205C">
      <w:pPr>
        <w:rPr>
          <w:rStyle w:val="134"/>
          <w:rFonts w:hint="default" w:ascii="Times New Roman" w:hAnsi="Times New Roman" w:cs="Times New Roman"/>
          <w:b w:val="0"/>
          <w:bCs w:val="0"/>
          <w:lang w:val="en-US" w:eastAsia="zh-CN"/>
        </w:rPr>
      </w:pPr>
    </w:p>
    <w:p w14:paraId="4B58768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remaining bars are mostly 1 or 2 in height, indicating that most mutation combinations co-occur in only a very small number of species.</w:t>
      </w:r>
    </w:p>
    <w:p w14:paraId="6FC42CBC">
      <w:pPr>
        <w:rPr>
          <w:rStyle w:val="134"/>
          <w:rFonts w:hint="default" w:ascii="Times New Roman" w:hAnsi="Times New Roman" w:cs="Times New Roman"/>
          <w:b w:val="0"/>
          <w:bCs w:val="0"/>
          <w:lang w:val="en-US" w:eastAsia="zh-CN"/>
        </w:rPr>
      </w:pPr>
    </w:p>
    <w:p w14:paraId="6588D4BF">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rpoB_S531F and rpoB_H526Y are the most frequently occurring mutations, each appearing in over 20 species. They are typical rifampicin resistance loci.</w:t>
      </w:r>
    </w:p>
    <w:p w14:paraId="1C193C0B">
      <w:pPr>
        <w:rPr>
          <w:rStyle w:val="134"/>
          <w:rFonts w:hint="default" w:ascii="Times New Roman" w:hAnsi="Times New Roman" w:cs="Times New Roman"/>
          <w:b/>
          <w:bCs/>
          <w:lang w:val="en-US" w:eastAsia="zh-CN"/>
        </w:rPr>
      </w:pPr>
      <w:r>
        <w:rPr>
          <w:rStyle w:val="134"/>
          <w:rFonts w:hint="default" w:ascii="Times New Roman" w:hAnsi="Times New Roman" w:cs="Times New Roman"/>
          <w:b/>
          <w:bCs/>
          <w:lang w:val="en-US" w:eastAsia="zh-CN"/>
        </w:rPr>
        <w:t>Core sites of resistance mutations are highly conserved, but multi-site co-occurrence patterns are species-specificGram-positive and -negative differentiation analysis.</w:t>
      </w:r>
    </w:p>
    <w:p w14:paraId="5842BAFC">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0" name="图片 20" descr="bar_topKmut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r_topKmut_species"/>
                    <pic:cNvPicPr>
                      <a:picLocks noChangeAspect="1"/>
                    </pic:cNvPicPr>
                  </pic:nvPicPr>
                  <pic:blipFill>
                    <a:blip r:embed="rId12"/>
                    <a:stretch>
                      <a:fillRect/>
                    </a:stretch>
                  </pic:blipFill>
                  <pic:spPr>
                    <a:xfrm>
                      <a:off x="0" y="0"/>
                      <a:ext cx="5486400" cy="2743200"/>
                    </a:xfrm>
                    <a:prstGeom prst="rect">
                      <a:avLst/>
                    </a:prstGeom>
                  </pic:spPr>
                </pic:pic>
              </a:graphicData>
            </a:graphic>
          </wp:inline>
        </w:drawing>
      </w:r>
    </w:p>
    <w:p w14:paraId="7611A4D1">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1" name="图片 21" descr="bar_selectedMuts_gram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r_selectedMuts_gram_compare"/>
                    <pic:cNvPicPr>
                      <a:picLocks noChangeAspect="1"/>
                    </pic:cNvPicPr>
                  </pic:nvPicPr>
                  <pic:blipFill>
                    <a:blip r:embed="rId13"/>
                    <a:stretch>
                      <a:fillRect/>
                    </a:stretch>
                  </pic:blipFill>
                  <pic:spPr>
                    <a:xfrm>
                      <a:off x="0" y="0"/>
                      <a:ext cx="5486400" cy="2743200"/>
                    </a:xfrm>
                    <a:prstGeom prst="rect">
                      <a:avLst/>
                    </a:prstGeom>
                  </pic:spPr>
                </pic:pic>
              </a:graphicData>
            </a:graphic>
          </wp:inline>
        </w:drawing>
      </w:r>
    </w:p>
    <w:p w14:paraId="04FCD38E">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Leveraging the highly recognized Gram-positive/-negative differentiation method, the authors further compared mutation patterns in the mid-high data by Gram staining group (Gram+/Gram–). They found that the two bacterial groups differed in their preferences at typical rpoB loci.</w:t>
      </w:r>
    </w:p>
    <w:p w14:paraId="6B29E297">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rPr>
      </w:pPr>
      <w:r>
        <w:rPr>
          <w:rFonts w:hint="default" w:ascii="Times New Roman" w:hAnsi="Times New Roman" w:eastAsia="SimSun" w:cs="Times New Roman"/>
          <w:sz w:val="21"/>
          <w:szCs w:val="21"/>
        </w:rPr>
        <w:t>Most classical RRDR mutations (e.g., P564L, D516G, S531F) were enriched in Gram-negative species, whereas a few peripheral variants (S531L, Q148R) showed relative enrichment in Gram-positive taxa.</w:t>
      </w:r>
    </w:p>
    <w:p w14:paraId="64DC9D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lang w:val="en-US" w:eastAsia="zh-CN"/>
        </w:rPr>
      </w:pPr>
      <w:r>
        <w:rPr>
          <w:rFonts w:hint="default" w:ascii="Times New Roman" w:hAnsi="Times New Roman" w:eastAsia="SimSun" w:cs="Times New Roman"/>
          <w:sz w:val="21"/>
          <w:szCs w:val="21"/>
        </w:rPr>
        <w:t>This suggests that Gram-negative species rely predominantly on canonical RRDR substitutions conferring strong resistance, whereas Gram-positive taxa accumulate peripheral or compensatory variants that may fine-tune rifampicin susceptibility with reduced fitness costs</w:t>
      </w:r>
      <w:r>
        <w:rPr>
          <w:rFonts w:hint="default" w:ascii="Times New Roman" w:hAnsi="Times New Roman" w:eastAsia="SimSun" w:cs="Times New Roman"/>
          <w:sz w:val="21"/>
          <w:szCs w:val="21"/>
          <w:lang w:val="en-US" w:eastAsia="zh-CN"/>
        </w:rPr>
        <w:t>.</w:t>
      </w:r>
    </w:p>
    <w:p w14:paraId="70C67C50">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This grouping trend is consistent with the phylogenetic clustering reported by Bolourchi et al. (2025), indicating that mutational spectrum structure exhibits reproducible evolutionary clustering across species.</w:t>
      </w:r>
    </w:p>
    <w:p w14:paraId="198646D6"/>
    <w:p w14:paraId="20072F38">
      <w:pPr>
        <w:numPr>
          <w:ilvl w:val="0"/>
          <w:numId w:val="0"/>
        </w:numPr>
        <w:rPr>
          <w:rFonts w:hint="eastAsia" w:eastAsia="SimSun"/>
          <w:lang w:eastAsia="zh-CN"/>
        </w:rPr>
      </w:pPr>
      <w:r>
        <w:rPr>
          <w:rFonts w:hint="eastAsia" w:eastAsia="SimSun"/>
          <w:lang w:eastAsia="zh-CN"/>
        </w:rPr>
        <w:drawing>
          <wp:inline distT="0" distB="0" distL="114300" distR="114300">
            <wp:extent cx="5472430" cy="3283585"/>
            <wp:effectExtent l="0" t="0" r="13970" b="8255"/>
            <wp:docPr id="3" name="图片 3"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p>
    <w:p w14:paraId="0183E48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4. Supervised Learning Results</w:t>
      </w:r>
    </w:p>
    <w:p w14:paraId="4CCBD43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5738400">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4.1 Overview of PU-learning framework</w:t>
      </w:r>
    </w:p>
    <w:p w14:paraId="14E02B25">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Briefly explain model, data, and Mask–then–Recover design.</w:t>
      </w:r>
    </w:p>
    <w:p w14:paraId="5058B1D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D39F50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4.2 Model performance and recovery ability</w:t>
      </w:r>
    </w:p>
    <w:p w14:paraId="5962BE22">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Recall@K curves (Fig. X)</w:t>
      </w:r>
    </w:p>
    <w:p w14:paraId="6E12841B">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1320" cy="3323590"/>
            <wp:effectExtent l="0" t="0" r="5080" b="13970"/>
            <wp:docPr id="9" name="图片 9" descr="PU_RF_recall_a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_RF_recall_at_k"/>
                    <pic:cNvPicPr>
                      <a:picLocks noChangeAspect="1"/>
                    </pic:cNvPicPr>
                  </pic:nvPicPr>
                  <pic:blipFill>
                    <a:blip r:embed="rId14"/>
                    <a:stretch>
                      <a:fillRect/>
                    </a:stretch>
                  </pic:blipFill>
                  <pic:spPr>
                    <a:xfrm>
                      <a:off x="0" y="0"/>
                      <a:ext cx="5481320" cy="3323590"/>
                    </a:xfrm>
                    <a:prstGeom prst="rect">
                      <a:avLst/>
                    </a:prstGeom>
                  </pic:spPr>
                </pic:pic>
              </a:graphicData>
            </a:graphic>
          </wp:inline>
        </w:drawing>
      </w:r>
    </w:p>
    <w:tbl>
      <w:tblPr>
        <w:tblW w:w="876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85"/>
        <w:gridCol w:w="2091"/>
        <w:gridCol w:w="1993"/>
        <w:gridCol w:w="2091"/>
      </w:tblGrid>
      <w:tr w14:paraId="3E64A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85" w:type="dxa"/>
            <w:tcBorders>
              <w:top w:val="nil"/>
              <w:left w:val="nil"/>
              <w:bottom w:val="nil"/>
              <w:right w:val="nil"/>
            </w:tcBorders>
            <w:shd w:val="clear"/>
            <w:noWrap/>
            <w:vAlign w:val="center"/>
          </w:tcPr>
          <w:p w14:paraId="60719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2091" w:type="dxa"/>
            <w:tcBorders>
              <w:top w:val="nil"/>
              <w:left w:val="nil"/>
              <w:bottom w:val="nil"/>
              <w:right w:val="nil"/>
            </w:tcBorders>
            <w:shd w:val="clear"/>
            <w:noWrap/>
            <w:vAlign w:val="center"/>
          </w:tcPr>
          <w:p w14:paraId="1BA18F5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Masked</w:t>
            </w:r>
          </w:p>
        </w:tc>
        <w:tc>
          <w:tcPr>
            <w:tcW w:w="1993" w:type="dxa"/>
            <w:tcBorders>
              <w:top w:val="nil"/>
              <w:left w:val="nil"/>
              <w:bottom w:val="nil"/>
              <w:right w:val="nil"/>
            </w:tcBorders>
            <w:shd w:val="clear"/>
            <w:noWrap/>
            <w:vAlign w:val="center"/>
          </w:tcPr>
          <w:p w14:paraId="7BBE8E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Unmasked_cf</w:t>
            </w:r>
          </w:p>
        </w:tc>
        <w:tc>
          <w:tcPr>
            <w:tcW w:w="2091" w:type="dxa"/>
            <w:tcBorders>
              <w:top w:val="nil"/>
              <w:left w:val="nil"/>
              <w:bottom w:val="nil"/>
              <w:right w:val="nil"/>
            </w:tcBorders>
            <w:shd w:val="clear"/>
            <w:noWrap/>
            <w:vAlign w:val="center"/>
          </w:tcPr>
          <w:p w14:paraId="5ACDB93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Delta</w:t>
            </w:r>
          </w:p>
        </w:tc>
      </w:tr>
      <w:tr w14:paraId="3E2B15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243EA3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abortus</w:t>
            </w:r>
          </w:p>
        </w:tc>
        <w:tc>
          <w:tcPr>
            <w:tcW w:w="0" w:type="auto"/>
            <w:tcBorders>
              <w:top w:val="nil"/>
              <w:left w:val="nil"/>
              <w:bottom w:val="nil"/>
              <w:right w:val="nil"/>
            </w:tcBorders>
            <w:shd w:val="clear"/>
            <w:noWrap/>
            <w:vAlign w:val="center"/>
          </w:tcPr>
          <w:p w14:paraId="2C6B512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0.16666666666666666</w:t>
            </w:r>
          </w:p>
        </w:tc>
        <w:tc>
          <w:tcPr>
            <w:tcW w:w="0" w:type="auto"/>
            <w:tcBorders>
              <w:top w:val="nil"/>
              <w:left w:val="nil"/>
              <w:bottom w:val="nil"/>
              <w:right w:val="nil"/>
            </w:tcBorders>
            <w:shd w:val="clear"/>
            <w:noWrap/>
            <w:vAlign w:val="center"/>
          </w:tcPr>
          <w:p w14:paraId="11566C9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0AC8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0.8333333333333334</w:t>
            </w:r>
          </w:p>
        </w:tc>
      </w:tr>
      <w:tr w14:paraId="4E405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436BB0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Listeria monocytogenes</w:t>
            </w:r>
          </w:p>
        </w:tc>
        <w:tc>
          <w:tcPr>
            <w:tcW w:w="0" w:type="auto"/>
            <w:tcBorders>
              <w:top w:val="nil"/>
              <w:left w:val="nil"/>
              <w:bottom w:val="nil"/>
              <w:right w:val="nil"/>
            </w:tcBorders>
            <w:shd w:val="clear"/>
            <w:noWrap/>
            <w:vAlign w:val="center"/>
          </w:tcPr>
          <w:p w14:paraId="514270E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w:t>
            </w:r>
          </w:p>
        </w:tc>
        <w:tc>
          <w:tcPr>
            <w:tcW w:w="0" w:type="auto"/>
            <w:tcBorders>
              <w:top w:val="nil"/>
              <w:left w:val="nil"/>
              <w:bottom w:val="nil"/>
              <w:right w:val="nil"/>
            </w:tcBorders>
            <w:shd w:val="clear"/>
            <w:noWrap/>
            <w:vAlign w:val="center"/>
          </w:tcPr>
          <w:p w14:paraId="3DC60FA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0.6733333333333333</w:t>
            </w:r>
          </w:p>
        </w:tc>
        <w:tc>
          <w:tcPr>
            <w:tcW w:w="0" w:type="auto"/>
            <w:tcBorders>
              <w:top w:val="nil"/>
              <w:left w:val="nil"/>
              <w:bottom w:val="nil"/>
              <w:right w:val="nil"/>
            </w:tcBorders>
            <w:shd w:val="clear"/>
            <w:noWrap/>
            <w:vAlign w:val="center"/>
          </w:tcPr>
          <w:p w14:paraId="34FE6EC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0.5733333333333334</w:t>
            </w:r>
          </w:p>
        </w:tc>
      </w:tr>
      <w:tr w14:paraId="2DD03E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E899BB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melitensis</w:t>
            </w:r>
          </w:p>
        </w:tc>
        <w:tc>
          <w:tcPr>
            <w:tcW w:w="0" w:type="auto"/>
            <w:tcBorders>
              <w:top w:val="nil"/>
              <w:left w:val="nil"/>
              <w:bottom w:val="nil"/>
              <w:right w:val="nil"/>
            </w:tcBorders>
            <w:shd w:val="clear"/>
            <w:noWrap/>
            <w:vAlign w:val="center"/>
          </w:tcPr>
          <w:p w14:paraId="10AE636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0.48</w:t>
            </w:r>
          </w:p>
        </w:tc>
        <w:tc>
          <w:tcPr>
            <w:tcW w:w="0" w:type="auto"/>
            <w:tcBorders>
              <w:top w:val="nil"/>
              <w:left w:val="nil"/>
              <w:bottom w:val="nil"/>
              <w:right w:val="nil"/>
            </w:tcBorders>
            <w:shd w:val="clear"/>
            <w:noWrap/>
            <w:vAlign w:val="center"/>
          </w:tcPr>
          <w:p w14:paraId="5CBFE7E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0.935</w:t>
            </w:r>
          </w:p>
        </w:tc>
        <w:tc>
          <w:tcPr>
            <w:tcW w:w="0" w:type="auto"/>
            <w:tcBorders>
              <w:top w:val="nil"/>
              <w:left w:val="nil"/>
              <w:bottom w:val="nil"/>
              <w:right w:val="nil"/>
            </w:tcBorders>
            <w:shd w:val="clear"/>
            <w:noWrap/>
            <w:vAlign w:val="center"/>
          </w:tcPr>
          <w:p w14:paraId="026BC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0.45500000000000007</w:t>
            </w:r>
          </w:p>
        </w:tc>
      </w:tr>
      <w:tr w14:paraId="7AC9D9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8E3744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Helicobacter pylori ATCC</w:t>
            </w:r>
          </w:p>
        </w:tc>
        <w:tc>
          <w:tcPr>
            <w:tcW w:w="0" w:type="auto"/>
            <w:tcBorders>
              <w:top w:val="nil"/>
              <w:left w:val="nil"/>
              <w:bottom w:val="nil"/>
              <w:right w:val="nil"/>
            </w:tcBorders>
            <w:shd w:val="clear"/>
            <w:noWrap/>
            <w:vAlign w:val="center"/>
          </w:tcPr>
          <w:p w14:paraId="4A5A23C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0.43333333333333335</w:t>
            </w:r>
          </w:p>
        </w:tc>
        <w:tc>
          <w:tcPr>
            <w:tcW w:w="0" w:type="auto"/>
            <w:tcBorders>
              <w:top w:val="nil"/>
              <w:left w:val="nil"/>
              <w:bottom w:val="nil"/>
              <w:right w:val="nil"/>
            </w:tcBorders>
            <w:shd w:val="clear"/>
            <w:noWrap/>
            <w:vAlign w:val="center"/>
          </w:tcPr>
          <w:p w14:paraId="25EEE0F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0.8742063492063492</w:t>
            </w:r>
          </w:p>
        </w:tc>
        <w:tc>
          <w:tcPr>
            <w:tcW w:w="0" w:type="auto"/>
            <w:tcBorders>
              <w:top w:val="nil"/>
              <w:left w:val="nil"/>
              <w:bottom w:val="nil"/>
              <w:right w:val="nil"/>
            </w:tcBorders>
            <w:shd w:val="clear"/>
            <w:noWrap/>
            <w:vAlign w:val="center"/>
          </w:tcPr>
          <w:p w14:paraId="20B2B83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0.44087301587301586</w:t>
            </w:r>
          </w:p>
        </w:tc>
      </w:tr>
      <w:tr w14:paraId="49C70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97535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Neisseria meningitidis</w:t>
            </w:r>
          </w:p>
        </w:tc>
        <w:tc>
          <w:tcPr>
            <w:tcW w:w="0" w:type="auto"/>
            <w:tcBorders>
              <w:top w:val="nil"/>
              <w:left w:val="nil"/>
              <w:bottom w:val="nil"/>
              <w:right w:val="nil"/>
            </w:tcBorders>
            <w:shd w:val="clear"/>
            <w:noWrap/>
            <w:vAlign w:val="center"/>
          </w:tcPr>
          <w:p w14:paraId="3D0386A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w:t>
            </w:r>
          </w:p>
        </w:tc>
        <w:tc>
          <w:tcPr>
            <w:tcW w:w="0" w:type="auto"/>
            <w:tcBorders>
              <w:top w:val="nil"/>
              <w:left w:val="nil"/>
              <w:bottom w:val="nil"/>
              <w:right w:val="nil"/>
            </w:tcBorders>
            <w:shd w:val="clear"/>
            <w:noWrap/>
            <w:vAlign w:val="center"/>
          </w:tcPr>
          <w:p w14:paraId="792FBBC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w:t>
            </w:r>
          </w:p>
        </w:tc>
        <w:tc>
          <w:tcPr>
            <w:tcW w:w="0" w:type="auto"/>
            <w:tcBorders>
              <w:top w:val="nil"/>
              <w:left w:val="nil"/>
              <w:bottom w:val="nil"/>
              <w:right w:val="nil"/>
            </w:tcBorders>
            <w:shd w:val="clear"/>
            <w:noWrap/>
            <w:vAlign w:val="center"/>
          </w:tcPr>
          <w:p w14:paraId="52DE213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w:t>
            </w:r>
          </w:p>
        </w:tc>
      </w:tr>
    </w:tbl>
    <w:p w14:paraId="4E1CE9A9">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5D13AAC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Interpretation: model generalizes well to resistance-associated mutations.</w:t>
      </w:r>
    </w:p>
    <w:p w14:paraId="3021A14C">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0685" cy="3039110"/>
            <wp:effectExtent l="0" t="0" r="5715" b="8890"/>
            <wp:docPr id="24" name="图片 24"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top_species_mask_vs_unmask_K20"/>
                    <pic:cNvPicPr>
                      <a:picLocks noChangeAspect="1"/>
                    </pic:cNvPicPr>
                  </pic:nvPicPr>
                  <pic:blipFill>
                    <a:blip r:embed="rId15"/>
                    <a:stretch>
                      <a:fillRect/>
                    </a:stretch>
                  </pic:blipFill>
                  <pic:spPr>
                    <a:xfrm>
                      <a:off x="0" y="0"/>
                      <a:ext cx="5480685" cy="3039110"/>
                    </a:xfrm>
                    <a:prstGeom prst="rect">
                      <a:avLst/>
                    </a:prstGeom>
                  </pic:spPr>
                </pic:pic>
              </a:graphicData>
            </a:graphic>
          </wp:inline>
        </w:drawing>
      </w:r>
    </w:p>
    <w:p w14:paraId="7C20E1C7">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4.3 Candidate prediction and novelty analysis</w:t>
      </w:r>
    </w:p>
    <w:p w14:paraId="3C07035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Probability distribution and novelty filtering (Fig. Y)</w:t>
      </w:r>
    </w:p>
    <w:p w14:paraId="0A6C9CD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Highlight representative novel sites (e.g., L533R, Q148R).</w:t>
      </w:r>
    </w:p>
    <w:p w14:paraId="25421E27">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9415" cy="3505200"/>
            <wp:effectExtent l="0" t="0" r="6985" b="0"/>
            <wp:docPr id="22" name="图片 22"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2_topk_by_species_bar_novel"/>
                    <pic:cNvPicPr>
                      <a:picLocks noChangeAspect="1"/>
                    </pic:cNvPicPr>
                  </pic:nvPicPr>
                  <pic:blipFill>
                    <a:blip r:embed="rId16"/>
                    <a:stretch>
                      <a:fillRect/>
                    </a:stretch>
                  </pic:blipFill>
                  <pic:spPr>
                    <a:xfrm>
                      <a:off x="0" y="0"/>
                      <a:ext cx="5479415" cy="3505200"/>
                    </a:xfrm>
                    <a:prstGeom prst="rect">
                      <a:avLst/>
                    </a:prstGeom>
                  </pic:spPr>
                </pic:pic>
              </a:graphicData>
            </a:graphic>
          </wp:inline>
        </w:drawing>
      </w:r>
    </w:p>
    <w:tbl>
      <w:tblPr>
        <w:tblW w:w="6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49"/>
        <w:gridCol w:w="949"/>
        <w:gridCol w:w="1416"/>
        <w:gridCol w:w="1482"/>
        <w:gridCol w:w="1482"/>
        <w:gridCol w:w="1482"/>
      </w:tblGrid>
      <w:tr w14:paraId="78661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80" w:type="dxa"/>
            <w:tcBorders>
              <w:top w:val="nil"/>
              <w:left w:val="nil"/>
              <w:bottom w:val="nil"/>
              <w:right w:val="nil"/>
            </w:tcBorders>
            <w:shd w:val="clear"/>
            <w:noWrap/>
            <w:vAlign w:val="center"/>
          </w:tcPr>
          <w:p w14:paraId="2D8FFC0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1080" w:type="dxa"/>
            <w:tcBorders>
              <w:top w:val="nil"/>
              <w:left w:val="nil"/>
              <w:bottom w:val="nil"/>
              <w:right w:val="nil"/>
            </w:tcBorders>
            <w:shd w:val="clear"/>
            <w:noWrap/>
            <w:vAlign w:val="center"/>
          </w:tcPr>
          <w:p w14:paraId="7C01178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Novel_Count</w:t>
            </w:r>
          </w:p>
        </w:tc>
        <w:tc>
          <w:tcPr>
            <w:tcW w:w="1080" w:type="dxa"/>
            <w:tcBorders>
              <w:top w:val="nil"/>
              <w:left w:val="nil"/>
              <w:bottom w:val="nil"/>
              <w:right w:val="nil"/>
            </w:tcBorders>
            <w:shd w:val="clear"/>
            <w:noWrap/>
            <w:vAlign w:val="center"/>
          </w:tcPr>
          <w:p w14:paraId="3F5A119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Mean_Prob</w:t>
            </w:r>
          </w:p>
        </w:tc>
        <w:tc>
          <w:tcPr>
            <w:tcW w:w="1080" w:type="dxa"/>
            <w:tcBorders>
              <w:top w:val="nil"/>
              <w:left w:val="nil"/>
              <w:bottom w:val="nil"/>
              <w:right w:val="nil"/>
            </w:tcBorders>
            <w:shd w:val="clear"/>
            <w:noWrap/>
            <w:vAlign w:val="center"/>
          </w:tcPr>
          <w:p w14:paraId="51F397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Candidate1_Mutation</w:t>
            </w:r>
          </w:p>
        </w:tc>
        <w:tc>
          <w:tcPr>
            <w:tcW w:w="1080" w:type="dxa"/>
            <w:tcBorders>
              <w:top w:val="nil"/>
              <w:left w:val="nil"/>
              <w:bottom w:val="nil"/>
              <w:right w:val="nil"/>
            </w:tcBorders>
            <w:shd w:val="clear"/>
            <w:noWrap/>
            <w:vAlign w:val="center"/>
          </w:tcPr>
          <w:p w14:paraId="430F7B9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Candidate2_Mutation</w:t>
            </w:r>
          </w:p>
        </w:tc>
        <w:tc>
          <w:tcPr>
            <w:tcW w:w="1080" w:type="dxa"/>
            <w:tcBorders>
              <w:top w:val="nil"/>
              <w:left w:val="nil"/>
              <w:bottom w:val="nil"/>
              <w:right w:val="nil"/>
            </w:tcBorders>
            <w:shd w:val="clear"/>
            <w:noWrap/>
            <w:vAlign w:val="center"/>
          </w:tcPr>
          <w:p w14:paraId="23C56AE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Candidate3_Mutation</w:t>
            </w:r>
          </w:p>
        </w:tc>
      </w:tr>
      <w:tr w14:paraId="769B6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03ADE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4E23E1D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8E4200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0.748578812656373</w:t>
            </w:r>
          </w:p>
        </w:tc>
        <w:tc>
          <w:tcPr>
            <w:tcW w:w="0" w:type="auto"/>
            <w:tcBorders>
              <w:top w:val="nil"/>
              <w:left w:val="nil"/>
              <w:bottom w:val="nil"/>
              <w:right w:val="nil"/>
            </w:tcBorders>
            <w:shd w:val="clear"/>
            <w:noWrap/>
            <w:vAlign w:val="center"/>
          </w:tcPr>
          <w:p w14:paraId="5093E8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1D8EF24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c>
          <w:tcPr>
            <w:tcW w:w="0" w:type="auto"/>
            <w:tcBorders>
              <w:top w:val="nil"/>
              <w:left w:val="nil"/>
              <w:bottom w:val="nil"/>
              <w:right w:val="nil"/>
            </w:tcBorders>
            <w:shd w:val="clear"/>
            <w:noWrap/>
            <w:vAlign w:val="center"/>
          </w:tcPr>
          <w:p w14:paraId="563744E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57544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A53C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Staphylococcus aureus</w:t>
            </w:r>
          </w:p>
        </w:tc>
        <w:tc>
          <w:tcPr>
            <w:tcW w:w="0" w:type="auto"/>
            <w:tcBorders>
              <w:top w:val="nil"/>
              <w:left w:val="nil"/>
              <w:bottom w:val="nil"/>
              <w:right w:val="nil"/>
            </w:tcBorders>
            <w:shd w:val="clear"/>
            <w:noWrap/>
            <w:vAlign w:val="center"/>
          </w:tcPr>
          <w:p w14:paraId="2CE5FA4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7E51A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0.6132635026502922</w:t>
            </w:r>
          </w:p>
        </w:tc>
        <w:tc>
          <w:tcPr>
            <w:tcW w:w="0" w:type="auto"/>
            <w:tcBorders>
              <w:top w:val="nil"/>
              <w:left w:val="nil"/>
              <w:bottom w:val="nil"/>
              <w:right w:val="nil"/>
            </w:tcBorders>
            <w:shd w:val="clear"/>
            <w:noWrap/>
            <w:vAlign w:val="center"/>
          </w:tcPr>
          <w:p w14:paraId="00750D8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0F14072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0B5239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7B4F47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95D423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Enterococcus faecium</w:t>
            </w:r>
          </w:p>
        </w:tc>
        <w:tc>
          <w:tcPr>
            <w:tcW w:w="0" w:type="auto"/>
            <w:tcBorders>
              <w:top w:val="nil"/>
              <w:left w:val="nil"/>
              <w:bottom w:val="nil"/>
              <w:right w:val="nil"/>
            </w:tcBorders>
            <w:shd w:val="clear"/>
            <w:noWrap/>
            <w:vAlign w:val="center"/>
          </w:tcPr>
          <w:p w14:paraId="7E908A3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63EA6F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0.5098281033263364</w:t>
            </w:r>
          </w:p>
        </w:tc>
        <w:tc>
          <w:tcPr>
            <w:tcW w:w="0" w:type="auto"/>
            <w:tcBorders>
              <w:top w:val="nil"/>
              <w:left w:val="nil"/>
              <w:bottom w:val="nil"/>
              <w:right w:val="nil"/>
            </w:tcBorders>
            <w:shd w:val="clear"/>
            <w:noWrap/>
            <w:vAlign w:val="center"/>
          </w:tcPr>
          <w:p w14:paraId="087C4EB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53B067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D89EAF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rpoB_S574F</w:t>
            </w:r>
          </w:p>
        </w:tc>
      </w:tr>
      <w:tr w14:paraId="0E765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B9A9F8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Streptomyces lividans</w:t>
            </w:r>
          </w:p>
        </w:tc>
        <w:tc>
          <w:tcPr>
            <w:tcW w:w="0" w:type="auto"/>
            <w:tcBorders>
              <w:top w:val="nil"/>
              <w:left w:val="nil"/>
              <w:bottom w:val="nil"/>
              <w:right w:val="nil"/>
            </w:tcBorders>
            <w:shd w:val="clear"/>
            <w:noWrap/>
            <w:vAlign w:val="center"/>
          </w:tcPr>
          <w:p w14:paraId="40D46A2A">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652C333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0.4192693982589603</w:t>
            </w:r>
          </w:p>
        </w:tc>
        <w:tc>
          <w:tcPr>
            <w:tcW w:w="0" w:type="auto"/>
            <w:tcBorders>
              <w:top w:val="nil"/>
              <w:left w:val="nil"/>
              <w:bottom w:val="nil"/>
              <w:right w:val="nil"/>
            </w:tcBorders>
            <w:shd w:val="clear"/>
            <w:noWrap/>
            <w:vAlign w:val="center"/>
          </w:tcPr>
          <w:p w14:paraId="0A9AB79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2F1DE0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6EE915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16D0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8F2D66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Burkholderia vietnamiensis</w:t>
            </w:r>
          </w:p>
        </w:tc>
        <w:tc>
          <w:tcPr>
            <w:tcW w:w="0" w:type="auto"/>
            <w:tcBorders>
              <w:top w:val="nil"/>
              <w:left w:val="nil"/>
              <w:bottom w:val="nil"/>
              <w:right w:val="nil"/>
            </w:tcBorders>
            <w:shd w:val="clear"/>
            <w:noWrap/>
            <w:vAlign w:val="center"/>
          </w:tcPr>
          <w:p w14:paraId="2451FA8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ECC50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0.3989763259749059</w:t>
            </w:r>
          </w:p>
        </w:tc>
        <w:tc>
          <w:tcPr>
            <w:tcW w:w="0" w:type="auto"/>
            <w:tcBorders>
              <w:top w:val="nil"/>
              <w:left w:val="nil"/>
              <w:bottom w:val="nil"/>
              <w:right w:val="nil"/>
            </w:tcBorders>
            <w:shd w:val="clear"/>
            <w:noWrap/>
            <w:vAlign w:val="center"/>
          </w:tcPr>
          <w:p w14:paraId="4FA937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2544A9A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7EAE635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r>
    </w:tbl>
    <w:p w14:paraId="625E6671">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04C2C9DF">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278000A6">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4.4 Species-level mutation prediction pattern</w:t>
      </w:r>
    </w:p>
    <w:p w14:paraId="6CDB64B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Heatmap showing predicted mutation profiles per species (Fig. Z)</w:t>
      </w:r>
    </w:p>
    <w:p w14:paraId="3DF2A526">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6240" cy="3333115"/>
            <wp:effectExtent l="0" t="0" r="10160" b="4445"/>
            <wp:docPr id="23" name="图片 23"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3_heatmap_topN_per_species_novel"/>
                    <pic:cNvPicPr>
                      <a:picLocks noChangeAspect="1"/>
                    </pic:cNvPicPr>
                  </pic:nvPicPr>
                  <pic:blipFill>
                    <a:blip r:embed="rId17"/>
                    <a:stretch>
                      <a:fillRect/>
                    </a:stretch>
                  </pic:blipFill>
                  <pic:spPr>
                    <a:xfrm>
                      <a:off x="0" y="0"/>
                      <a:ext cx="5476240" cy="3333115"/>
                    </a:xfrm>
                    <a:prstGeom prst="rect">
                      <a:avLst/>
                    </a:prstGeom>
                  </pic:spPr>
                </pic:pic>
              </a:graphicData>
            </a:graphic>
          </wp:inline>
        </w:drawing>
      </w:r>
    </w:p>
    <w:p w14:paraId="0394BA3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6A0E9CA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4.5 Biological interpretation</w:t>
      </w:r>
    </w:p>
    <w:p w14:paraId="02E93F1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Summarize Gram+/– divergence and functional implications.</w:t>
      </w:r>
    </w:p>
    <w:p w14:paraId="3E67CD9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Connect unsupervised and supervised findings.</w:t>
      </w:r>
    </w:p>
    <w:p w14:paraId="31C74273">
      <w:pPr>
        <w:keepNext w:val="0"/>
        <w:keepLines w:val="0"/>
        <w:widowControl/>
        <w:numPr>
          <w:ilvl w:val="0"/>
          <w:numId w:val="0"/>
        </w:numPr>
        <w:suppressLineNumbers w:val="0"/>
        <w:spacing w:before="0" w:beforeAutospacing="1" w:after="0" w:afterAutospacing="1"/>
        <w:rPr>
          <w:rFonts w:hint="eastAsia" w:eastAsia="SimSun"/>
          <w:lang w:eastAsia="zh-CN"/>
        </w:rPr>
      </w:pPr>
    </w:p>
    <w:p w14:paraId="0974A926">
      <w:pPr>
        <w:numPr>
          <w:ilvl w:val="0"/>
          <w:numId w:val="0"/>
        </w:numPr>
        <w:rPr>
          <w:rFonts w:hint="eastAsia" w:eastAsia="SimSun"/>
          <w:lang w:eastAsia="zh-CN"/>
        </w:rPr>
      </w:pPr>
    </w:p>
    <w:p w14:paraId="19052005">
      <w:pPr>
        <w:pStyle w:val="3"/>
        <w:numPr>
          <w:ilvl w:val="0"/>
          <w:numId w:val="9"/>
        </w:numPr>
        <w:spacing w:after="120" w:line="360" w:lineRule="auto"/>
        <w:ind w:left="0" w:leftChars="0" w:firstLine="0" w:firstLineChars="0"/>
        <w:rPr>
          <w:rFonts w:ascii="Times New Roman" w:hAnsi="Times New Roman"/>
          <w:sz w:val="24"/>
        </w:rPr>
      </w:pPr>
      <w:r>
        <w:rPr>
          <w:rFonts w:ascii="Times New Roman" w:hAnsi="Times New Roman"/>
          <w:sz w:val="24"/>
        </w:rPr>
        <w:t>Discussion</w:t>
      </w:r>
    </w:p>
    <w:p w14:paraId="3E316894">
      <w:pPr>
        <w:numPr>
          <w:ilvl w:val="0"/>
          <w:numId w:val="0"/>
        </w:numPr>
        <w:ind w:leftChars="0"/>
        <w:rPr>
          <w:rFonts w:hint="default" w:eastAsia="SimSun"/>
          <w:b/>
          <w:bCs/>
          <w:lang w:val="en-US" w:eastAsia="zh-CN"/>
        </w:rPr>
      </w:pPr>
      <w:r>
        <w:rPr>
          <w:rFonts w:hint="default" w:eastAsia="SimSun"/>
          <w:b/>
          <w:bCs/>
          <w:lang w:val="en-US" w:eastAsia="zh-CN"/>
        </w:rPr>
        <w:t>Can ASreview be optimized?</w:t>
      </w:r>
    </w:p>
    <w:p w14:paraId="722A995A">
      <w:pPr>
        <w:numPr>
          <w:ilvl w:val="0"/>
          <w:numId w:val="0"/>
        </w:numPr>
        <w:ind w:leftChars="0"/>
        <w:rPr>
          <w:rFonts w:hint="default" w:eastAsia="SimSun"/>
          <w:lang w:val="en-US" w:eastAsia="zh-CN"/>
        </w:rPr>
      </w:pPr>
    </w:p>
    <w:p w14:paraId="1ABA9EDF">
      <w:pPr>
        <w:numPr>
          <w:ilvl w:val="0"/>
          <w:numId w:val="0"/>
        </w:numPr>
        <w:ind w:leftChars="0"/>
        <w:rPr>
          <w:rFonts w:hint="default" w:eastAsia="SimSun"/>
          <w:lang w:val="en-US" w:eastAsia="zh-CN"/>
        </w:rPr>
      </w:pPr>
      <w:r>
        <w:rPr>
          <w:rFonts w:hint="default" w:eastAsia="SimSun"/>
          <w:lang w:val="en-US" w:eastAsia="zh-CN"/>
        </w:rPr>
        <w:t>Currently, ASreview does not offer batch automatic labeling, relying entirely on users to manually assign labels (relevant/irrelevant). Its AI algorithm is only used to rank recommended articles. Users must rely on ASreview's recall regression curve for the current project to determine whether to stop reading subsequent articles deemed "irrelevant." The author believes this process is still cumbersome and should be combined with a language understanding model to automatically perform all subsequent screening after a small amount of manual labeling, or to leave only a few "suspicious" articles for users to judge.</w:t>
      </w:r>
    </w:p>
    <w:p w14:paraId="6F2958FE">
      <w:pPr>
        <w:numPr>
          <w:ilvl w:val="0"/>
          <w:numId w:val="0"/>
        </w:numPr>
        <w:ind w:leftChars="0"/>
        <w:rPr>
          <w:rFonts w:hint="default" w:eastAsia="SimSun"/>
          <w:lang w:val="en-US" w:eastAsia="zh-CN"/>
        </w:rPr>
      </w:pPr>
    </w:p>
    <w:p w14:paraId="651B2AB1">
      <w:pPr>
        <w:numPr>
          <w:ilvl w:val="0"/>
          <w:numId w:val="0"/>
        </w:numPr>
        <w:ind w:leftChars="0"/>
        <w:rPr>
          <w:rFonts w:hint="default" w:eastAsia="SimSun"/>
          <w:b/>
          <w:bCs/>
          <w:lang w:val="en-US" w:eastAsia="zh-CN"/>
        </w:rPr>
      </w:pPr>
      <w:r>
        <w:rPr>
          <w:rFonts w:hint="default" w:eastAsia="SimSun"/>
          <w:b/>
          <w:bCs/>
          <w:lang w:val="en-US" w:eastAsia="zh-CN"/>
        </w:rPr>
        <w:t>Why are RIF mutation sites highly disproportionate in some species compared to others?</w:t>
      </w:r>
    </w:p>
    <w:p w14:paraId="10053C27">
      <w:pPr>
        <w:numPr>
          <w:ilvl w:val="0"/>
          <w:numId w:val="0"/>
        </w:numPr>
        <w:ind w:leftChars="0"/>
        <w:rPr>
          <w:rFonts w:hint="default" w:eastAsia="SimSun"/>
          <w:lang w:val="en-US" w:eastAsia="zh-CN"/>
        </w:rPr>
      </w:pPr>
    </w:p>
    <w:p w14:paraId="2348757B">
      <w:pPr>
        <w:numPr>
          <w:ilvl w:val="0"/>
          <w:numId w:val="0"/>
        </w:numPr>
        <w:ind w:leftChars="0"/>
        <w:rPr>
          <w:rFonts w:hint="default" w:eastAsia="SimSun"/>
          <w:lang w:val="en-US" w:eastAsia="zh-CN"/>
        </w:rPr>
      </w:pPr>
      <w:r>
        <w:rPr>
          <w:rFonts w:hint="default" w:eastAsia="SimSun"/>
          <w:lang w:val="en-US" w:eastAsia="zh-CN"/>
        </w:rPr>
        <w:t>Vibrio parahaemolyticus, V. vulnificus, Streptomyces lividans, Brucella suis &amp; Brucella melitensis</w:t>
      </w:r>
    </w:p>
    <w:p w14:paraId="7CF74F14">
      <w:pPr>
        <w:numPr>
          <w:ilvl w:val="0"/>
          <w:numId w:val="0"/>
        </w:numPr>
        <w:ind w:leftChars="0"/>
        <w:rPr>
          <w:rFonts w:hint="default" w:eastAsia="SimSun"/>
          <w:lang w:val="en-US" w:eastAsia="zh-CN"/>
        </w:rPr>
      </w:pPr>
    </w:p>
    <w:p w14:paraId="1D508A6A">
      <w:pPr>
        <w:numPr>
          <w:ilvl w:val="0"/>
          <w:numId w:val="0"/>
        </w:numPr>
        <w:ind w:leftChars="0"/>
        <w:rPr>
          <w:rFonts w:hint="default" w:eastAsia="SimSun"/>
          <w:lang w:val="en-US" w:eastAsia="zh-CN"/>
        </w:rPr>
      </w:pPr>
      <w:r>
        <w:rPr>
          <w:rFonts w:hint="default" w:eastAsia="SimSun"/>
          <w:lang w:val="en-US" w:eastAsia="zh-CN"/>
        </w:rPr>
        <w:t>In the PU-learning and mask and recall processes, how does masking affect the final prediction model?</w:t>
      </w:r>
    </w:p>
    <w:p w14:paraId="4D5400D7">
      <w:pPr>
        <w:numPr>
          <w:ilvl w:val="0"/>
          <w:numId w:val="0"/>
        </w:numPr>
        <w:ind w:leftChars="0"/>
        <w:rPr>
          <w:rFonts w:hint="default" w:eastAsia="SimSun"/>
          <w:lang w:val="en-US" w:eastAsia="zh-CN"/>
        </w:rPr>
      </w:pPr>
    </w:p>
    <w:p w14:paraId="071EBD6C">
      <w:pPr>
        <w:numPr>
          <w:ilvl w:val="0"/>
          <w:numId w:val="0"/>
        </w:numPr>
        <w:ind w:leftChars="0"/>
        <w:rPr>
          <w:rFonts w:hint="default" w:eastAsia="SimSun"/>
          <w:b/>
          <w:bCs/>
          <w:lang w:val="en-US" w:eastAsia="zh-CN"/>
        </w:rPr>
      </w:pPr>
      <w:r>
        <w:rPr>
          <w:rFonts w:hint="default" w:eastAsia="SimSun"/>
          <w:b/>
          <w:bCs/>
          <w:lang w:val="en-US" w:eastAsia="zh-CN"/>
        </w:rPr>
        <w:t>Is random masking the optimal approach?</w:t>
      </w:r>
    </w:p>
    <w:p w14:paraId="6293936C">
      <w:pPr>
        <w:numPr>
          <w:ilvl w:val="0"/>
          <w:numId w:val="0"/>
        </w:numPr>
        <w:ind w:leftChars="0"/>
        <w:rPr>
          <w:rFonts w:hint="default" w:eastAsia="SimSun"/>
          <w:lang w:val="en-US" w:eastAsia="zh-CN"/>
        </w:rPr>
      </w:pPr>
    </w:p>
    <w:p w14:paraId="0DAA852B">
      <w:pPr>
        <w:numPr>
          <w:ilvl w:val="0"/>
          <w:numId w:val="0"/>
        </w:numPr>
        <w:ind w:leftChars="0"/>
        <w:rPr>
          <w:rFonts w:hint="default" w:eastAsia="SimSun"/>
          <w:lang w:val="en-US" w:eastAsia="zh-CN"/>
        </w:rPr>
      </w:pPr>
      <w:r>
        <w:rPr>
          <w:rFonts w:hint="default" w:eastAsia="SimSun"/>
          <w:lang w:val="en-US" w:eastAsia="zh-CN"/>
        </w:rPr>
        <w:t>Can ASreview's recommendation prioritization or other language vocabulary analysis models be combined to perform high-value, targeted masking?</w:t>
      </w:r>
    </w:p>
    <w:p w14:paraId="45D4A171">
      <w:pPr>
        <w:numPr>
          <w:ilvl w:val="0"/>
          <w:numId w:val="0"/>
        </w:numPr>
        <w:ind w:leftChars="0"/>
        <w:rPr>
          <w:rFonts w:hint="default" w:eastAsia="SimSun"/>
          <w:lang w:val="en-US" w:eastAsia="zh-CN"/>
        </w:rPr>
      </w:pPr>
    </w:p>
    <w:p w14:paraId="51B4E062">
      <w:pPr>
        <w:numPr>
          <w:ilvl w:val="0"/>
          <w:numId w:val="0"/>
        </w:numPr>
        <w:ind w:leftChars="0"/>
        <w:rPr>
          <w:rFonts w:hint="default" w:eastAsia="SimSun"/>
          <w:b/>
          <w:bCs/>
          <w:lang w:val="en-US" w:eastAsia="zh-CN"/>
        </w:rPr>
      </w:pPr>
      <w:r>
        <w:rPr>
          <w:rFonts w:hint="default" w:eastAsia="SimSun"/>
          <w:b/>
          <w:bCs/>
          <w:lang w:val="en-US" w:eastAsia="zh-CN"/>
        </w:rPr>
        <w:t>Are the final predictions too credible?</w:t>
      </w:r>
    </w:p>
    <w:p w14:paraId="5A6B855F">
      <w:pPr>
        <w:pStyle w:val="3"/>
        <w:spacing w:after="120" w:line="360" w:lineRule="auto"/>
      </w:pPr>
      <w:r>
        <w:rPr>
          <w:rFonts w:ascii="Times New Roman" w:hAnsi="Times New Roman"/>
          <w:sz w:val="24"/>
        </w:rPr>
        <w:t>5. Conclusions</w:t>
      </w:r>
    </w:p>
    <w:p w14:paraId="169BD381">
      <w:pPr>
        <w:spacing w:after="120" w:line="360" w:lineRule="auto"/>
      </w:pPr>
      <w:r>
        <w:rPr>
          <w:rFonts w:ascii="Times New Roman" w:hAnsi="Times New Roman"/>
          <w:sz w:val="24"/>
        </w:rPr>
        <w:t>Summarize the most significant findings and their implications. State whether the research aims were achieved and highlight potential applications or follow-up studies.</w:t>
      </w:r>
    </w:p>
    <w:p w14:paraId="7E8B4EB4">
      <w:pPr>
        <w:pStyle w:val="3"/>
        <w:spacing w:after="120" w:line="360" w:lineRule="auto"/>
      </w:pPr>
      <w:r>
        <w:rPr>
          <w:rFonts w:ascii="Times New Roman" w:hAnsi="Times New Roman"/>
          <w:sz w:val="24"/>
        </w:rPr>
        <w:t>6. References</w:t>
      </w:r>
    </w:p>
    <w:p w14:paraId="708FBF0D">
      <w:pPr>
        <w:spacing w:after="120" w:line="360" w:lineRule="auto"/>
        <w:rPr>
          <w:rFonts w:ascii="Times New Roman" w:hAnsi="Times New Roman"/>
          <w:sz w:val="24"/>
        </w:rPr>
      </w:pPr>
      <w:r>
        <w:rPr>
          <w:rFonts w:ascii="Times New Roman" w:hAnsi="Times New Roman"/>
          <w:sz w:val="24"/>
        </w:rPr>
        <w:t>All cited literature should appear here in a consistent referencing style (APA, Harvard, or a scientific journal format). Example:</w:t>
      </w:r>
      <w:r>
        <w:rPr>
          <w:rFonts w:ascii="Times New Roman" w:hAnsi="Times New Roman"/>
          <w:sz w:val="24"/>
        </w:rPr>
        <w:br w:type="textWrapping"/>
      </w:r>
      <w:r>
        <w:rPr>
          <w:rFonts w:ascii="Times New Roman" w:hAnsi="Times New Roman"/>
          <w:sz w:val="24"/>
        </w:rPr>
        <w:t>Foster, L., Mouse, M., &amp; Christ, J. (1972). The effect of hypoxia on free divers. J. Irrep. Res., 23, 490–512.</w:t>
      </w:r>
    </w:p>
    <w:p w14:paraId="0A8AEAD7">
      <w:pPr>
        <w:spacing w:after="120" w:line="360" w:lineRule="auto"/>
        <w:rPr>
          <w:rFonts w:ascii="SimSun" w:hAnsi="SimSun" w:eastAsia="SimSun" w:cs="SimSun"/>
          <w:sz w:val="24"/>
          <w:szCs w:val="24"/>
        </w:rPr>
      </w:pPr>
      <w:r>
        <w:rPr>
          <w:rFonts w:ascii="SimSun" w:hAnsi="SimSun" w:eastAsia="SimSun" w:cs="SimSun"/>
          <w:sz w:val="24"/>
          <w:szCs w:val="24"/>
        </w:rPr>
        <w:t>Federal Funding for the Study of Antimicrobial Resistance in Nosocomial Pathogens: No ESKAPE — Louis B. Rice，</w:t>
      </w:r>
      <w:r>
        <w:rPr>
          <w:rStyle w:val="135"/>
          <w:rFonts w:ascii="SimSun" w:hAnsi="SimSun" w:eastAsia="SimSun" w:cs="SimSun"/>
          <w:sz w:val="24"/>
          <w:szCs w:val="24"/>
        </w:rPr>
        <w:t>The Journal of Infectious Diseases</w:t>
      </w:r>
      <w:r>
        <w:rPr>
          <w:rFonts w:ascii="SimSun" w:hAnsi="SimSun" w:eastAsia="SimSun" w:cs="SimSun"/>
          <w:sz w:val="24"/>
          <w:szCs w:val="24"/>
        </w:rPr>
        <w:t>, 2008, 197(8): 1079–1081</w:t>
      </w:r>
    </w:p>
    <w:p w14:paraId="2DA3373E">
      <w:pPr>
        <w:spacing w:after="120" w:line="360" w:lineRule="auto"/>
        <w:rPr>
          <w:rFonts w:hint="default" w:ascii="SimSun" w:hAnsi="SimSun" w:eastAsia="SimSun" w:cs="SimSun"/>
          <w:sz w:val="24"/>
          <w:szCs w:val="24"/>
        </w:rPr>
      </w:pPr>
    </w:p>
    <w:p w14:paraId="65980A9D">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WHO. Guidelines for the diagnosis, treatment and prevention of leprosy (2018). </w:t>
      </w:r>
    </w:p>
    <w:p w14:paraId="677D28D7">
      <w:pPr>
        <w:spacing w:after="120" w:line="360" w:lineRule="auto"/>
        <w:rPr>
          <w:rFonts w:hint="default" w:ascii="SimSun" w:hAnsi="SimSun" w:eastAsia="SimSun" w:cs="SimSun"/>
          <w:sz w:val="24"/>
          <w:szCs w:val="24"/>
        </w:rPr>
      </w:pPr>
    </w:p>
    <w:p w14:paraId="3EC4D96B">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Sivakumaran P, Barros Bd, Antonio Dias VL, Lockwood DN, Walker SL. “A retrospective cohort study of monthly rifampicin, ofloxacin and minocycline in the management of leprosy…” PLoS Neglected Tropical Diseases (2024). </w:t>
      </w:r>
    </w:p>
    <w:p w14:paraId="0E528DCD">
      <w:pPr>
        <w:spacing w:after="120" w:line="360" w:lineRule="auto"/>
        <w:rPr>
          <w:rFonts w:hint="default" w:ascii="SimSun" w:hAnsi="SimSun" w:eastAsia="SimSun" w:cs="SimSun"/>
          <w:sz w:val="24"/>
          <w:szCs w:val="24"/>
        </w:rPr>
      </w:pPr>
    </w:p>
    <w:p w14:paraId="7AC07D58">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Pupaibool J. “The Role of Rifampin in Prosthetic Joint Infections: Efficacy, Challenges, and Clinical Evidence.” Antibiotics 13(12):1223 (2024). </w:t>
      </w:r>
    </w:p>
    <w:p w14:paraId="38C05B97">
      <w:pPr>
        <w:spacing w:after="120" w:line="360" w:lineRule="auto"/>
        <w:rPr>
          <w:rFonts w:hint="default" w:ascii="SimSun" w:hAnsi="SimSun" w:eastAsia="SimSun" w:cs="SimSun"/>
          <w:sz w:val="24"/>
          <w:szCs w:val="24"/>
        </w:rPr>
      </w:pPr>
    </w:p>
    <w:p w14:paraId="76456F16">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Karlsen Ø et al. “Rifampin combination therapy in staphylococcal prosthetic joint infections: a randomized controlled trial.” J Orthopaedic Surgery and Research 15:365 (2020). </w:t>
      </w:r>
    </w:p>
    <w:p w14:paraId="5C9F01F4">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Zhao L-L, Wan K-L. rpoB mutations and effects on rifampin resistance. Infect Drug Resist. 2020;13:2599-2610. DOI: 10.2147/IDR.S283855. </w:t>
      </w:r>
    </w:p>
    <w:p w14:paraId="620852F9">
      <w:pPr>
        <w:spacing w:after="120" w:line="360" w:lineRule="auto"/>
        <w:rPr>
          <w:rFonts w:hint="default" w:ascii="SimSun" w:hAnsi="SimSun" w:eastAsia="SimSun" w:cs="SimSun"/>
          <w:sz w:val="24"/>
          <w:szCs w:val="24"/>
        </w:rPr>
      </w:pPr>
    </w:p>
    <w:p w14:paraId="04FB04DC">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Das A, et al. The Structural Basis of Mycobacterium tuberculosis RpoB Drug-Resistant Clinical Mutations on Rifampicin Drug Binding. Molecules. 2020;27(3):885. DOI: 10.3390/molecules27030885. </w:t>
      </w:r>
    </w:p>
    <w:p w14:paraId="2B7208AA">
      <w:pPr>
        <w:spacing w:after="120" w:line="360" w:lineRule="auto"/>
        <w:rPr>
          <w:rFonts w:hint="default" w:ascii="SimSun" w:hAnsi="SimSun" w:eastAsia="SimSun" w:cs="SimSun"/>
          <w:sz w:val="24"/>
          <w:szCs w:val="24"/>
        </w:rPr>
      </w:pPr>
    </w:p>
    <w:p w14:paraId="303B548A">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Helmann JD, et al. Mutations in rpoB That Confer Rifampicin Resistance Can Alter Levels of Peptidoglycan Precursors and Affect β-Lactam Susceptibility. mBio. 2023;14(1):e03168-22. DOI: 10.1128/mbio.03168-22. </w:t>
      </w:r>
    </w:p>
    <w:p w14:paraId="01FBF828">
      <w:pPr>
        <w:spacing w:after="120" w:line="360" w:lineRule="auto"/>
        <w:rPr>
          <w:rFonts w:hint="default" w:ascii="SimSun" w:hAnsi="SimSun" w:eastAsia="SimSun" w:cs="SimSun"/>
          <w:sz w:val="24"/>
          <w:szCs w:val="24"/>
        </w:rPr>
      </w:pPr>
    </w:p>
    <w:p w14:paraId="30483FC0">
      <w:pPr>
        <w:spacing w:after="120" w:line="360" w:lineRule="auto"/>
        <w:rPr>
          <w:rFonts w:hint="default" w:ascii="SimSun" w:hAnsi="SimSun" w:eastAsia="SimSun" w:cs="SimSun"/>
          <w:sz w:val="24"/>
          <w:szCs w:val="24"/>
        </w:rPr>
      </w:pPr>
      <w:r>
        <w:rPr>
          <w:rFonts w:hint="default" w:ascii="SimSun" w:hAnsi="SimSun" w:eastAsia="SimSun" w:cs="SimSun"/>
          <w:sz w:val="24"/>
          <w:szCs w:val="24"/>
        </w:rPr>
        <w:t>“Consensus numbering system for the rifampicin resistance-associated rpoB gene mutations in pathogenic mycobacteria.” Clin Microbiol Infect. 2016;22(11):981-986. DOI: (article)</w:t>
      </w:r>
    </w:p>
    <w:p w14:paraId="2AB551F1">
      <w:pPr>
        <w:pStyle w:val="3"/>
        <w:spacing w:after="120" w:line="360" w:lineRule="auto"/>
      </w:pPr>
      <w:r>
        <w:rPr>
          <w:rFonts w:ascii="Times New Roman" w:hAnsi="Times New Roman"/>
          <w:sz w:val="24"/>
        </w:rPr>
        <w:t>7. Figures and Tables</w:t>
      </w:r>
    </w:p>
    <w:p w14:paraId="21199B22">
      <w:pPr>
        <w:spacing w:after="120" w:line="360" w:lineRule="auto"/>
      </w:pPr>
      <w:r>
        <w:rPr>
          <w:rFonts w:ascii="Times New Roman" w:hAnsi="Times New Roman"/>
          <w:sz w:val="24"/>
        </w:rPr>
        <w:t>All figures and tables should be labeled and inserted close to where they are first mentioned in the text. Each figure should include a descriptive caption below, while tables should have a title above.</w:t>
      </w:r>
    </w:p>
    <w:p w14:paraId="2955ED66">
      <w:pPr>
        <w:pStyle w:val="3"/>
        <w:spacing w:after="120" w:line="360" w:lineRule="auto"/>
      </w:pPr>
      <w:r>
        <w:rPr>
          <w:rFonts w:ascii="Times New Roman" w:hAnsi="Times New Roman"/>
          <w:sz w:val="24"/>
        </w:rPr>
        <w:t>8. Appendices</w:t>
      </w:r>
    </w:p>
    <w:p w14:paraId="2A8CD68C">
      <w:pPr>
        <w:spacing w:after="120" w:line="360" w:lineRule="auto"/>
      </w:pPr>
      <w:r>
        <w:rPr>
          <w:rFonts w:ascii="Times New Roman" w:hAnsi="Times New Roman"/>
          <w:sz w:val="24"/>
        </w:rPr>
        <w:t>Include any supplementary materials, extended data tables, code snippets, or detailed methodology not essential to the main text.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DengXian">
    <w:panose1 w:val="02010600030101010101"/>
    <w:charset w:val="86"/>
    <w:family w:val="auto"/>
    <w:pitch w:val="default"/>
    <w:sig w:usb0="A00002BF" w:usb1="38CF7CFA" w:usb2="00000016" w:usb3="00000000" w:csb0="0004000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Gulim">
    <w:panose1 w:val="020B0600000101010101"/>
    <w:charset w:val="81"/>
    <w:family w:val="auto"/>
    <w:pitch w:val="default"/>
    <w:sig w:usb0="B00002AF" w:usb1="69D77CFB" w:usb2="00000030" w:usb3="00000000" w:csb0="400800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F4984"/>
    <w:multiLevelType w:val="singleLevel"/>
    <w:tmpl w:val="A36F4984"/>
    <w:lvl w:ilvl="0" w:tentative="0">
      <w:start w:val="2"/>
      <w:numFmt w:val="decimal"/>
      <w:suff w:val="space"/>
      <w:lvlText w:val="%1."/>
      <w:lvlJc w:val="left"/>
    </w:lvl>
  </w:abstractNum>
  <w:abstractNum w:abstractNumId="1">
    <w:nsid w:val="CF91F0B1"/>
    <w:multiLevelType w:val="singleLevel"/>
    <w:tmpl w:val="CF91F0B1"/>
    <w:lvl w:ilvl="0" w:tentative="0">
      <w:start w:val="1"/>
      <w:numFmt w:val="decimal"/>
      <w:suff w:val="space"/>
      <w:lvlText w:val="%1."/>
      <w:lvlJc w:val="left"/>
    </w:lvl>
  </w:abstractNum>
  <w:abstractNum w:abstractNumId="2">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8">
    <w:nsid w:val="0BF60811"/>
    <w:multiLevelType w:val="singleLevel"/>
    <w:tmpl w:val="0BF60811"/>
    <w:lvl w:ilvl="0" w:tentative="0">
      <w:start w:val="3"/>
      <w:numFmt w:val="decimal"/>
      <w:suff w:val="space"/>
      <w:lvlText w:val="%1."/>
      <w:lvlJc w:val="left"/>
    </w:lvl>
  </w:abstractNum>
  <w:num w:numId="1">
    <w:abstractNumId w:val="3"/>
  </w:num>
  <w:num w:numId="2">
    <w:abstractNumId w:val="6"/>
  </w:num>
  <w:num w:numId="3">
    <w:abstractNumId w:val="7"/>
  </w:num>
  <w:num w:numId="4">
    <w:abstractNumId w:val="4"/>
  </w:num>
  <w:num w:numId="5">
    <w:abstractNumId w:val="2"/>
  </w:num>
  <w:num w:numId="6">
    <w:abstractNumId w:val="5"/>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8D2A37"/>
    <w:rsid w:val="06425B25"/>
    <w:rsid w:val="0C3E3188"/>
    <w:rsid w:val="131A2EAB"/>
    <w:rsid w:val="144D6A10"/>
    <w:rsid w:val="14512AE4"/>
    <w:rsid w:val="14805E6D"/>
    <w:rsid w:val="14EB7E01"/>
    <w:rsid w:val="15774C9D"/>
    <w:rsid w:val="194F7996"/>
    <w:rsid w:val="195425EF"/>
    <w:rsid w:val="19BB1243"/>
    <w:rsid w:val="1A122025"/>
    <w:rsid w:val="1BFB1448"/>
    <w:rsid w:val="1C0C1ED2"/>
    <w:rsid w:val="1E3035B6"/>
    <w:rsid w:val="1F51312D"/>
    <w:rsid w:val="20783BD5"/>
    <w:rsid w:val="22F6163B"/>
    <w:rsid w:val="2664210D"/>
    <w:rsid w:val="275859A0"/>
    <w:rsid w:val="275B17B6"/>
    <w:rsid w:val="27D84529"/>
    <w:rsid w:val="28BB61E6"/>
    <w:rsid w:val="2AC93CBE"/>
    <w:rsid w:val="2BA15C43"/>
    <w:rsid w:val="2CE33F5E"/>
    <w:rsid w:val="2F2820FC"/>
    <w:rsid w:val="2FB33802"/>
    <w:rsid w:val="31163AD0"/>
    <w:rsid w:val="315370F6"/>
    <w:rsid w:val="31F12C79"/>
    <w:rsid w:val="327C3F33"/>
    <w:rsid w:val="33C73702"/>
    <w:rsid w:val="342054FA"/>
    <w:rsid w:val="36035EE7"/>
    <w:rsid w:val="373F0574"/>
    <w:rsid w:val="3BAA4DC5"/>
    <w:rsid w:val="3BDA11A3"/>
    <w:rsid w:val="3C1732DC"/>
    <w:rsid w:val="3F6C393F"/>
    <w:rsid w:val="432E715D"/>
    <w:rsid w:val="45BE6EBE"/>
    <w:rsid w:val="464A554C"/>
    <w:rsid w:val="4B573E0D"/>
    <w:rsid w:val="4B9A4D16"/>
    <w:rsid w:val="4BC863A1"/>
    <w:rsid w:val="4CD51C9D"/>
    <w:rsid w:val="4D131782"/>
    <w:rsid w:val="4E811B11"/>
    <w:rsid w:val="50354221"/>
    <w:rsid w:val="50974594"/>
    <w:rsid w:val="51071719"/>
    <w:rsid w:val="52037B37"/>
    <w:rsid w:val="52DF6A37"/>
    <w:rsid w:val="55D431E1"/>
    <w:rsid w:val="567D0E31"/>
    <w:rsid w:val="5A8965A6"/>
    <w:rsid w:val="5A9C5970"/>
    <w:rsid w:val="5B07456D"/>
    <w:rsid w:val="5C1F70E4"/>
    <w:rsid w:val="5F327BF7"/>
    <w:rsid w:val="5FFA2985"/>
    <w:rsid w:val="6070010A"/>
    <w:rsid w:val="6C855F05"/>
    <w:rsid w:val="6D8F29AD"/>
    <w:rsid w:val="6FDD3497"/>
    <w:rsid w:val="709B394E"/>
    <w:rsid w:val="725D1408"/>
    <w:rsid w:val="731C6E4F"/>
    <w:rsid w:val="73333C07"/>
    <w:rsid w:val="755B5A35"/>
    <w:rsid w:val="75E1612D"/>
    <w:rsid w:val="773A6FB4"/>
    <w:rsid w:val="77F87F91"/>
    <w:rsid w:val="7B675786"/>
    <w:rsid w:val="7B8B3432"/>
    <w:rsid w:val="7D817891"/>
    <w:rsid w:val="7F0B337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macro"/>
    <w:link w:val="1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9"/>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7"/>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9"/>
    <w:unhideWhenUsed/>
    <w:qFormat/>
    <w:uiPriority w:val="99"/>
    <w:pPr>
      <w:tabs>
        <w:tab w:val="center" w:pos="4680"/>
        <w:tab w:val="right" w:pos="9360"/>
      </w:tabs>
      <w:spacing w:after="0" w:line="240" w:lineRule="auto"/>
    </w:pPr>
  </w:style>
  <w:style w:type="paragraph" w:styleId="25">
    <w:name w:val="header"/>
    <w:basedOn w:val="1"/>
    <w:link w:val="138"/>
    <w:unhideWhenUsed/>
    <w:qFormat/>
    <w:uiPriority w:val="99"/>
    <w:pPr>
      <w:tabs>
        <w:tab w:val="center" w:pos="4680"/>
        <w:tab w:val="right" w:pos="9360"/>
      </w:tabs>
      <w:spacing w:after="0" w:line="240" w:lineRule="auto"/>
    </w:pPr>
  </w:style>
  <w:style w:type="paragraph" w:styleId="26">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8"/>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yperlink"/>
    <w:basedOn w:val="133"/>
    <w:semiHidden/>
    <w:unhideWhenUsed/>
    <w:uiPriority w:val="99"/>
    <w:rPr>
      <w:color w:val="0000FF"/>
      <w:u w:val="single"/>
    </w:rPr>
  </w:style>
  <w:style w:type="character" w:styleId="137">
    <w:name w:val="HTML Code"/>
    <w:basedOn w:val="133"/>
    <w:semiHidden/>
    <w:unhideWhenUsed/>
    <w:qFormat/>
    <w:uiPriority w:val="99"/>
    <w:rPr>
      <w:rFonts w:ascii="Courier New" w:hAnsi="Courier New"/>
      <w:sz w:val="20"/>
    </w:rPr>
  </w:style>
  <w:style w:type="character" w:customStyle="1" w:styleId="138">
    <w:name w:val="Header Char"/>
    <w:basedOn w:val="133"/>
    <w:link w:val="25"/>
    <w:qFormat/>
    <w:uiPriority w:val="99"/>
  </w:style>
  <w:style w:type="character" w:customStyle="1" w:styleId="139">
    <w:name w:val="Footer Char"/>
    <w:basedOn w:val="133"/>
    <w:link w:val="24"/>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33"/>
    <w:link w:val="19"/>
    <w:qFormat/>
    <w:uiPriority w:val="99"/>
  </w:style>
  <w:style w:type="character" w:customStyle="1" w:styleId="148">
    <w:name w:val="Body Text 2 Char"/>
    <w:basedOn w:val="133"/>
    <w:link w:val="28"/>
    <w:qFormat/>
    <w:uiPriority w:val="99"/>
  </w:style>
  <w:style w:type="character" w:customStyle="1" w:styleId="149">
    <w:name w:val="Body Text 3 Char"/>
    <w:basedOn w:val="133"/>
    <w:link w:val="17"/>
    <w:qFormat/>
    <w:uiPriority w:val="99"/>
    <w:rPr>
      <w:sz w:val="16"/>
      <w:szCs w:val="16"/>
    </w:rPr>
  </w:style>
  <w:style w:type="character" w:customStyle="1" w:styleId="150">
    <w:name w:val="Macro Text Char"/>
    <w:basedOn w:val="133"/>
    <w:link w:val="2"/>
    <w:qFormat/>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33"/>
    <w:link w:val="151"/>
    <w:qFormat/>
    <w:uiPriority w:val="29"/>
    <w:rPr>
      <w:i/>
      <w:iCs/>
      <w:color w:val="000000" w:themeColor="text1"/>
      <w14:textFill>
        <w14:solidFill>
          <w14:schemeClr w14:val="tx1"/>
        </w14:solidFill>
      </w14:textFill>
    </w:rPr>
  </w:style>
  <w:style w:type="character" w:customStyle="1" w:styleId="153">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5">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33"/>
    <w:link w:val="159"/>
    <w:qFormat/>
    <w:uiPriority w:val="30"/>
    <w:rPr>
      <w:b/>
      <w:bCs/>
      <w:i/>
      <w:iCs/>
      <w:color w:val="4F81BD" w:themeColor="accent1"/>
      <w14:textFill>
        <w14:solidFill>
          <w14:schemeClr w14:val="accent1"/>
        </w14:solidFill>
      </w14:textFill>
    </w:rPr>
  </w:style>
  <w:style w:type="character" w:customStyle="1" w:styleId="161">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33"/>
    <w:qFormat/>
    <w:uiPriority w:val="21"/>
    <w:rPr>
      <w:b/>
      <w:bCs/>
      <w:i/>
      <w:iCs/>
      <w:color w:val="4F81BD" w:themeColor="accent1"/>
      <w14:textFill>
        <w14:solidFill>
          <w14:schemeClr w14:val="accent1"/>
        </w14:solidFill>
      </w14:textFill>
    </w:rPr>
  </w:style>
  <w:style w:type="character" w:customStyle="1" w:styleId="163">
    <w:name w:val="Subtle Reference"/>
    <w:basedOn w:val="133"/>
    <w:qFormat/>
    <w:uiPriority w:val="31"/>
    <w:rPr>
      <w:smallCaps/>
      <w:color w:val="C0504D" w:themeColor="accent2"/>
      <w:u w:val="single"/>
      <w14:textFill>
        <w14:solidFill>
          <w14:schemeClr w14:val="accent2"/>
        </w14:solidFill>
      </w14:textFill>
    </w:rPr>
  </w:style>
  <w:style w:type="character" w:customStyle="1" w:styleId="164">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33"/>
    <w:qFormat/>
    <w:uiPriority w:val="33"/>
    <w:rPr>
      <w:b/>
      <w:bCs/>
      <w:smallCaps/>
      <w:spacing w:val="5"/>
    </w:rPr>
  </w:style>
  <w:style w:type="paragraph" w:customStyle="1" w:styleId="166">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2738</Words>
  <Characters>14705</Characters>
  <Lines>0</Lines>
  <Paragraphs>0</Paragraphs>
  <TotalTime>232</TotalTime>
  <ScaleCrop>false</ScaleCrop>
  <LinksUpToDate>false</LinksUpToDate>
  <CharactersWithSpaces>16867</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2013-12-24T00:15:00Z</dcterms:created>
  <dc:creator>python-docx</dc:creator>
  <dc:description>generated by python-docx</dc:description>
  <cp:lastModifiedBy>WPS_1754153612</cp:lastModifiedBy>
  <dcterms:modified xsi:type="dcterms:W3CDTF">2025-10-27T14:23:32Z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7ECE6722C8AE45E6843C4404BDED4811_13</vt:lpwstr>
  </property>
  <property fmtid="{D5CDD505-2E9C-101B-9397-08002B2CF9AE}" pid="4" name="KSOTemplateDocerSaveRecord">
    <vt:lpwstr>eyJoZGlkIjoiYjkyZmNhZmMwYTRkMzdjNDc0ZDBiODA4ZTNmNjg2YzYiLCJ1c2VySWQiOiIxNzI2NjE4Mjg5In0=</vt:lpwstr>
  </property>
</Properties>
</file>