
<file path=[Content_Types].xml><?xml version="1.0" encoding="utf-8"?>
<Types xmlns="http://schemas.openxmlformats.org/package/2006/content-types">
  <Default Extension="xml" ContentType="application/xml"/>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D68322B">
      <w:pPr>
        <w:pStyle w:val="32"/>
        <w:spacing w:after="120" w:line="360" w:lineRule="auto"/>
      </w:pPr>
      <w:r>
        <w:rPr>
          <w:rFonts w:ascii="Times New Roman" w:hAnsi="Times New Roman"/>
          <w:sz w:val="24"/>
        </w:rPr>
        <w:t>Final Research Report</w:t>
      </w:r>
    </w:p>
    <w:p w14:paraId="4E3B95AF">
      <w:pPr>
        <w:spacing w:after="120" w:line="360" w:lineRule="auto"/>
      </w:pPr>
      <w:r>
        <w:rPr>
          <w:rFonts w:ascii="Times New Roman" w:hAnsi="Times New Roman"/>
          <w:sz w:val="24"/>
        </w:rPr>
        <w:t>Course Code: BIOX7</w:t>
      </w:r>
      <w:r>
        <w:rPr>
          <w:rFonts w:hint="eastAsia" w:ascii="Times New Roman" w:hAnsi="Times New Roman" w:eastAsia="SimSun"/>
          <w:sz w:val="24"/>
          <w:lang w:val="en-US" w:eastAsia="zh-CN"/>
        </w:rPr>
        <w:t>011</w:t>
      </w:r>
      <w:r>
        <w:rPr>
          <w:rFonts w:ascii="Times New Roman" w:hAnsi="Times New Roman"/>
          <w:sz w:val="24"/>
        </w:rPr>
        <w:br w:type="textWrapping"/>
      </w:r>
      <w:r>
        <w:rPr>
          <w:rFonts w:ascii="Times New Roman" w:hAnsi="Times New Roman"/>
          <w:sz w:val="24"/>
        </w:rPr>
        <w:t xml:space="preserve">Student Name: </w:t>
      </w:r>
      <w:r>
        <w:rPr>
          <w:rFonts w:hint="eastAsia" w:ascii="Times New Roman" w:hAnsi="Times New Roman" w:eastAsia="SimSun"/>
          <w:sz w:val="24"/>
          <w:lang w:val="en-US" w:eastAsia="zh-CN"/>
        </w:rPr>
        <w:t>Yu Sun</w:t>
      </w:r>
      <w:r>
        <w:rPr>
          <w:rFonts w:ascii="Times New Roman" w:hAnsi="Times New Roman"/>
          <w:sz w:val="24"/>
        </w:rPr>
        <w:br w:type="textWrapping"/>
      </w:r>
      <w:r>
        <w:rPr>
          <w:rFonts w:ascii="Times New Roman" w:hAnsi="Times New Roman"/>
          <w:sz w:val="24"/>
        </w:rPr>
        <w:t xml:space="preserve">Student Number: </w:t>
      </w:r>
      <w:r>
        <w:rPr>
          <w:rFonts w:hint="eastAsia" w:ascii="Times New Roman" w:hAnsi="Times New Roman" w:eastAsia="SimSun"/>
          <w:sz w:val="24"/>
          <w:lang w:val="en-US" w:eastAsia="zh-CN"/>
        </w:rPr>
        <w:t>45105764</w:t>
      </w:r>
      <w:r>
        <w:rPr>
          <w:rFonts w:ascii="Times New Roman" w:hAnsi="Times New Roman"/>
          <w:sz w:val="24"/>
        </w:rPr>
        <w:br w:type="textWrapping"/>
      </w:r>
      <w:r>
        <w:rPr>
          <w:rFonts w:ascii="Times New Roman" w:hAnsi="Times New Roman"/>
          <w:sz w:val="24"/>
        </w:rPr>
        <w:t>Supervisor: [</w:t>
      </w:r>
      <w:r>
        <w:rPr>
          <w:rFonts w:hint="eastAsia" w:ascii="Times New Roman" w:hAnsi="Times New Roman" w:eastAsia="SimSun"/>
          <w:sz w:val="24"/>
          <w:lang w:val="en-US" w:eastAsia="zh-CN"/>
        </w:rPr>
        <w:t>Jan Engelstaedter</w:t>
      </w:r>
      <w:r>
        <w:rPr>
          <w:rFonts w:ascii="Times New Roman" w:hAnsi="Times New Roman"/>
          <w:sz w:val="24"/>
        </w:rPr>
        <w:t>, Affiliation]</w:t>
      </w:r>
      <w:r>
        <w:rPr>
          <w:rFonts w:ascii="Times New Roman" w:hAnsi="Times New Roman"/>
          <w:sz w:val="24"/>
        </w:rPr>
        <w:br w:type="textWrapping"/>
      </w:r>
      <w:r>
        <w:rPr>
          <w:rFonts w:ascii="Times New Roman" w:hAnsi="Times New Roman"/>
          <w:sz w:val="24"/>
        </w:rPr>
        <w:t>Date: [Submission Date]</w:t>
      </w:r>
    </w:p>
    <w:p w14:paraId="13E5DE07">
      <w:pPr>
        <w:spacing w:after="120" w:line="360" w:lineRule="auto"/>
      </w:pPr>
      <w:r>
        <w:rPr>
          <w:rFonts w:ascii="Times New Roman" w:hAnsi="Times New Roman"/>
          <w:sz w:val="24"/>
        </w:rPr>
        <w:br w:type="page"/>
      </w:r>
    </w:p>
    <w:p w14:paraId="42CE9BAF">
      <w:pPr>
        <w:pStyle w:val="3"/>
        <w:spacing w:after="120" w:line="360" w:lineRule="auto"/>
      </w:pPr>
      <w:r>
        <w:rPr>
          <w:rFonts w:ascii="Times New Roman" w:hAnsi="Times New Roman"/>
          <w:sz w:val="24"/>
        </w:rPr>
        <w:t>Abstract</w:t>
      </w:r>
    </w:p>
    <w:p w14:paraId="37B34294">
      <w:pPr>
        <w:spacing w:after="120" w:line="360" w:lineRule="auto"/>
      </w:pPr>
      <w:r>
        <w:rPr>
          <w:rFonts w:ascii="Times New Roman" w:hAnsi="Times New Roman"/>
          <w:sz w:val="24"/>
        </w:rPr>
        <w:t>This section provides a concise summary of the entire project (200–300 words). It should clearly outline the research aims, the main methodologies used, the key findings, and the major conclusions derived from the study.</w:t>
      </w:r>
    </w:p>
    <w:p w14:paraId="707EAFAB">
      <w:pPr>
        <w:pStyle w:val="3"/>
        <w:numPr>
          <w:ilvl w:val="0"/>
          <w:numId w:val="7"/>
        </w:numPr>
        <w:spacing w:after="120" w:line="360" w:lineRule="auto"/>
        <w:rPr>
          <w:rFonts w:ascii="Times New Roman" w:hAnsi="Times New Roman"/>
          <w:sz w:val="24"/>
        </w:rPr>
      </w:pPr>
      <w:r>
        <w:rPr>
          <w:rFonts w:ascii="Times New Roman" w:hAnsi="Times New Roman"/>
          <w:sz w:val="24"/>
        </w:rPr>
        <w:t>Introduction</w:t>
      </w:r>
    </w:p>
    <w:p w14:paraId="770BEB94">
      <w:pPr>
        <w:numPr>
          <w:numId w:val="0"/>
        </w:numPr>
        <w:rPr>
          <w:rFonts w:hint="default"/>
        </w:rPr>
      </w:pPr>
      <w:r>
        <w:rPr>
          <w:rFonts w:hint="default"/>
        </w:rPr>
        <w:t>1. 抗菌素耐药性（AMR）的全球危机</w:t>
      </w:r>
    </w:p>
    <w:p w14:paraId="7FD00D9D">
      <w:pPr>
        <w:numPr>
          <w:numId w:val="0"/>
        </w:numPr>
        <w:rPr>
          <w:rFonts w:hint="default"/>
        </w:rPr>
      </w:pPr>
    </w:p>
    <w:p w14:paraId="46134093">
      <w:pPr>
        <w:numPr>
          <w:numId w:val="0"/>
        </w:numPr>
        <w:rPr>
          <w:rFonts w:hint="default"/>
        </w:rPr>
      </w:pPr>
      <w:r>
        <w:rPr>
          <w:rFonts w:hint="default"/>
        </w:rPr>
        <w:t>1.1 全球流行与公共卫生威胁</w:t>
      </w:r>
    </w:p>
    <w:p w14:paraId="1D58DE19">
      <w:pPr>
        <w:numPr>
          <w:numId w:val="0"/>
        </w:numPr>
        <w:rPr>
          <w:rFonts w:hint="default"/>
        </w:rPr>
      </w:pPr>
    </w:p>
    <w:p w14:paraId="6A7F677A">
      <w:pPr>
        <w:numPr>
          <w:numId w:val="0"/>
        </w:numPr>
        <w:rPr>
          <w:rFonts w:hint="default"/>
        </w:rPr>
      </w:pPr>
      <w:r>
        <w:rPr>
          <w:rFonts w:hint="default"/>
        </w:rPr>
        <w:t>简述AMR的定义与机制（突变、基因水平转移、选择压力）</w:t>
      </w:r>
    </w:p>
    <w:p w14:paraId="4D27264E">
      <w:pPr>
        <w:rPr>
          <w:rFonts w:ascii="Times New Roman" w:hAnsi="Times New Roman" w:eastAsia="SimSun" w:cs="Times New Roman"/>
          <w:color w:val="000000"/>
          <w:sz w:val="24"/>
          <w:szCs w:val="24"/>
          <w:lang w:eastAsia="zh-CN" w:bidi="ar"/>
        </w:rPr>
      </w:pPr>
      <w:r>
        <w:rPr>
          <w:rFonts w:ascii="Times New Roman" w:hAnsi="Times New Roman" w:eastAsia="SimSun" w:cs="Times New Roman"/>
          <w:color w:val="000000"/>
          <w:sz w:val="24"/>
          <w:szCs w:val="24"/>
          <w:lang w:eastAsia="zh-CN" w:bidi="ar"/>
        </w:rPr>
        <w:t>Since the start of 21</w:t>
      </w:r>
      <w:r>
        <w:rPr>
          <w:rFonts w:ascii="Times New Roman" w:hAnsi="Times New Roman" w:eastAsia="SimSun" w:cs="Times New Roman"/>
          <w:color w:val="000000"/>
          <w:sz w:val="24"/>
          <w:szCs w:val="24"/>
          <w:vertAlign w:val="superscript"/>
          <w:lang w:eastAsia="zh-CN" w:bidi="ar"/>
        </w:rPr>
        <w:t>st</w:t>
      </w:r>
      <w:r>
        <w:rPr>
          <w:rFonts w:ascii="Times New Roman" w:hAnsi="Times New Roman" w:eastAsia="SimSun" w:cs="Times New Roman"/>
          <w:color w:val="000000"/>
          <w:sz w:val="24"/>
          <w:szCs w:val="24"/>
          <w:lang w:eastAsia="zh-CN" w:bidi="ar"/>
        </w:rPr>
        <w:t xml:space="preserve"> century Antimicrobial Resistance (AMR) has become one of the most pressing threats to global public health. The World Health Organization estimates more than 10 million people will die annually by 20250 from AMR-related infections .AMR not only makes it more difficult to treat infections, but also significantly raises healthcare costs and length of hospitalization, placing greater pressure on public health systems in low-income countries . Among the many drug-resistant pathogens, drug-resistant tuberculosis (DR-TB) is of particular concern. approximately 450,000 people worldwide will have rifampicin-resistant tuberculosis (RR-TB) in 2022, with the majority of cases also showing resistance to isoniazid, thus constituting multidrug-resistant tuberculosis (MDR-TB) .</w:t>
      </w:r>
    </w:p>
    <w:p w14:paraId="3BEF9364">
      <w:pPr>
        <w:numPr>
          <w:ilvl w:val="0"/>
          <w:numId w:val="0"/>
        </w:numPr>
        <w:rPr>
          <w:rFonts w:hint="default"/>
        </w:rPr>
      </w:pPr>
      <w:r>
        <w:rPr>
          <w:rFonts w:ascii="SimSun" w:hAnsi="SimSun" w:eastAsia="SimSun" w:cs="SimSun"/>
          <w:sz w:val="24"/>
          <w:szCs w:val="24"/>
        </w:rPr>
        <w:t xml:space="preserve">AMR 的成因与传播跨越 </w:t>
      </w:r>
      <w:r>
        <w:rPr>
          <w:rStyle w:val="134"/>
          <w:rFonts w:ascii="SimSun" w:hAnsi="SimSun" w:eastAsia="SimSun" w:cs="SimSun"/>
          <w:sz w:val="24"/>
          <w:szCs w:val="24"/>
        </w:rPr>
        <w:t>人类、动物与环境</w:t>
      </w:r>
      <w:r>
        <w:rPr>
          <w:rFonts w:ascii="SimSun" w:hAnsi="SimSun" w:eastAsia="SimSun" w:cs="SimSun"/>
          <w:sz w:val="24"/>
          <w:szCs w:val="24"/>
        </w:rPr>
        <w:t xml:space="preserve">三重界面（One Health）：人群临床用药、畜牧与水产中的抗菌药使用、废水与环境耐药基因库之间彼此联动，要求卫生、农业与生态等多部门协同。其中，医院获得性感染中的 </w:t>
      </w:r>
      <w:r>
        <w:rPr>
          <w:rStyle w:val="134"/>
          <w:rFonts w:ascii="SimSun" w:hAnsi="SimSun" w:eastAsia="SimSun" w:cs="SimSun"/>
          <w:sz w:val="24"/>
          <w:szCs w:val="24"/>
        </w:rPr>
        <w:t>ESKAPE 病原体</w:t>
      </w:r>
      <w:r>
        <w:rPr>
          <w:rFonts w:ascii="SimSun" w:hAnsi="SimSun" w:eastAsia="SimSun" w:cs="SimSun"/>
          <w:sz w:val="24"/>
          <w:szCs w:val="24"/>
        </w:rPr>
        <w:t>以</w:t>
      </w:r>
      <w:r>
        <w:rPr>
          <w:rStyle w:val="134"/>
          <w:rFonts w:ascii="SimSun" w:hAnsi="SimSun" w:eastAsia="SimSun" w:cs="SimSun"/>
          <w:sz w:val="24"/>
          <w:szCs w:val="24"/>
        </w:rPr>
        <w:t>多重耐药</w:t>
      </w:r>
      <w:r>
        <w:rPr>
          <w:rFonts w:ascii="SimSun" w:hAnsi="SimSun" w:eastAsia="SimSun" w:cs="SimSun"/>
          <w:sz w:val="24"/>
          <w:szCs w:val="24"/>
        </w:rPr>
        <w:t>与</w:t>
      </w:r>
      <w:r>
        <w:rPr>
          <w:rStyle w:val="134"/>
          <w:rFonts w:ascii="SimSun" w:hAnsi="SimSun" w:eastAsia="SimSun" w:cs="SimSun"/>
          <w:sz w:val="24"/>
          <w:szCs w:val="24"/>
        </w:rPr>
        <w:t>治疗失败</w:t>
      </w:r>
      <w:r>
        <w:rPr>
          <w:rFonts w:ascii="SimSun" w:hAnsi="SimSun" w:eastAsia="SimSun" w:cs="SimSun"/>
          <w:sz w:val="24"/>
          <w:szCs w:val="24"/>
        </w:rPr>
        <w:t xml:space="preserve">著称，是全球政策与研发的优先对象。虽然本文聚焦 </w:t>
      </w:r>
      <w:r>
        <w:rPr>
          <w:rStyle w:val="134"/>
          <w:rFonts w:ascii="SimSun" w:hAnsi="SimSun" w:eastAsia="SimSun" w:cs="SimSun"/>
          <w:sz w:val="24"/>
          <w:szCs w:val="24"/>
        </w:rPr>
        <w:t>利福平（Rifampicin, RIF）</w:t>
      </w:r>
      <w:r>
        <w:rPr>
          <w:rFonts w:ascii="SimSun" w:hAnsi="SimSun" w:eastAsia="SimSun" w:cs="SimSun"/>
          <w:sz w:val="24"/>
          <w:szCs w:val="24"/>
        </w:rPr>
        <w:t xml:space="preserve"> 的耐药机制（主要通过 </w:t>
      </w:r>
      <w:r>
        <w:rPr>
          <w:rStyle w:val="134"/>
          <w:rFonts w:ascii="SimSun" w:hAnsi="SimSun" w:eastAsia="SimSun" w:cs="SimSun"/>
          <w:sz w:val="24"/>
          <w:szCs w:val="24"/>
        </w:rPr>
        <w:t>rpoB</w:t>
      </w:r>
      <w:r>
        <w:rPr>
          <w:rFonts w:ascii="SimSun" w:hAnsi="SimSun" w:eastAsia="SimSun" w:cs="SimSun"/>
          <w:sz w:val="24"/>
          <w:szCs w:val="24"/>
        </w:rPr>
        <w:t xml:space="preserve"> 位点突变）及其跨物种分布与预测，但其研究逻辑与 ESKAPE 的抗性进化具有共通性：在持续的药物选择压力下，关键靶点突变、外排泵增强、酶介导失活、生物膜等机制可以</w:t>
      </w:r>
      <w:r>
        <w:rPr>
          <w:rStyle w:val="134"/>
          <w:rFonts w:ascii="SimSun" w:hAnsi="SimSun" w:eastAsia="SimSun" w:cs="SimSun"/>
          <w:sz w:val="24"/>
          <w:szCs w:val="24"/>
        </w:rPr>
        <w:t>并行或叠加</w:t>
      </w:r>
      <w:r>
        <w:rPr>
          <w:rFonts w:ascii="SimSun" w:hAnsi="SimSun" w:eastAsia="SimSun" w:cs="SimSun"/>
          <w:sz w:val="24"/>
          <w:szCs w:val="24"/>
        </w:rPr>
        <w:t xml:space="preserve">出现，导致临床治疗窗口收窄。将 </w:t>
      </w:r>
      <w:r>
        <w:rPr>
          <w:rStyle w:val="134"/>
          <w:rFonts w:ascii="SimSun" w:hAnsi="SimSun" w:eastAsia="SimSun" w:cs="SimSun"/>
          <w:sz w:val="24"/>
          <w:szCs w:val="24"/>
        </w:rPr>
        <w:t>RIF-耐药</w:t>
      </w:r>
      <w:r>
        <w:rPr>
          <w:rFonts w:ascii="SimSun" w:hAnsi="SimSun" w:eastAsia="SimSun" w:cs="SimSun"/>
          <w:sz w:val="24"/>
          <w:szCs w:val="24"/>
        </w:rPr>
        <w:t xml:space="preserve"> 的分子谱系学证据与 </w:t>
      </w:r>
      <w:r>
        <w:rPr>
          <w:rStyle w:val="134"/>
          <w:rFonts w:ascii="SimSun" w:hAnsi="SimSun" w:eastAsia="SimSun" w:cs="SimSun"/>
          <w:sz w:val="24"/>
          <w:szCs w:val="24"/>
        </w:rPr>
        <w:t>ESKAPE</w:t>
      </w:r>
      <w:r>
        <w:rPr>
          <w:rFonts w:ascii="SimSun" w:hAnsi="SimSun" w:eastAsia="SimSun" w:cs="SimSun"/>
          <w:sz w:val="24"/>
          <w:szCs w:val="24"/>
        </w:rPr>
        <w:t xml:space="preserve"> 的临床与流行病学监测相结合，可为制定更具针对性的</w:t>
      </w:r>
      <w:r>
        <w:rPr>
          <w:rStyle w:val="134"/>
          <w:rFonts w:ascii="SimSun" w:hAnsi="SimSun" w:eastAsia="SimSun" w:cs="SimSun"/>
          <w:sz w:val="24"/>
          <w:szCs w:val="24"/>
        </w:rPr>
        <w:t>经验用药策略</w:t>
      </w:r>
      <w:r>
        <w:rPr>
          <w:rFonts w:ascii="SimSun" w:hAnsi="SimSun" w:eastAsia="SimSun" w:cs="SimSun"/>
          <w:sz w:val="24"/>
          <w:szCs w:val="24"/>
        </w:rPr>
        <w:t>、</w:t>
      </w:r>
      <w:r>
        <w:rPr>
          <w:rStyle w:val="134"/>
          <w:rFonts w:ascii="SimSun" w:hAnsi="SimSun" w:eastAsia="SimSun" w:cs="SimSun"/>
          <w:sz w:val="24"/>
          <w:szCs w:val="24"/>
        </w:rPr>
        <w:t>耐药预警指标</w:t>
      </w:r>
      <w:r>
        <w:rPr>
          <w:rFonts w:ascii="SimSun" w:hAnsi="SimSun" w:eastAsia="SimSun" w:cs="SimSun"/>
          <w:sz w:val="24"/>
          <w:szCs w:val="24"/>
        </w:rPr>
        <w:t>与</w:t>
      </w:r>
      <w:r>
        <w:rPr>
          <w:rStyle w:val="134"/>
          <w:rFonts w:ascii="SimSun" w:hAnsi="SimSun" w:eastAsia="SimSun" w:cs="SimSun"/>
          <w:sz w:val="24"/>
          <w:szCs w:val="24"/>
        </w:rPr>
        <w:t>新药/伴随诊断</w:t>
      </w:r>
      <w:r>
        <w:rPr>
          <w:rFonts w:ascii="SimSun" w:hAnsi="SimSun" w:eastAsia="SimSun" w:cs="SimSun"/>
          <w:sz w:val="24"/>
          <w:szCs w:val="24"/>
        </w:rPr>
        <w:t>研发提供实证基础</w:t>
      </w:r>
    </w:p>
    <w:p w14:paraId="1902ACE5">
      <w:pPr>
        <w:rPr>
          <w:rFonts w:ascii="Times New Roman" w:hAnsi="Times New Roman" w:eastAsia="SimSun" w:cs="Times New Roman"/>
          <w:color w:val="000000"/>
          <w:sz w:val="24"/>
          <w:szCs w:val="24"/>
          <w:lang w:eastAsia="zh-CN" w:bidi="ar"/>
        </w:rPr>
      </w:pPr>
    </w:p>
    <w:p w14:paraId="0D2688B7">
      <w:pPr>
        <w:numPr>
          <w:numId w:val="0"/>
        </w:numPr>
        <w:rPr>
          <w:rFonts w:hint="eastAsia" w:eastAsia="SimSun"/>
          <w:lang w:val="en-US" w:eastAsia="zh-CN"/>
        </w:rPr>
      </w:pPr>
    </w:p>
    <w:p w14:paraId="3DAC4C20">
      <w:pPr>
        <w:pStyle w:val="30"/>
        <w:keepNext w:val="0"/>
        <w:keepLines w:val="0"/>
        <w:widowControl/>
        <w:suppressLineNumbers w:val="0"/>
      </w:pPr>
      <w:r>
        <w:rPr>
          <w:rFonts w:hint="eastAsia" w:eastAsia="SimSun"/>
          <w:lang w:val="en-US" w:eastAsia="zh-CN"/>
        </w:rPr>
        <w:t>在具体的抗药性细菌中</w:t>
      </w:r>
      <w:r>
        <w:t>，Louis B. Rice</w:t>
      </w:r>
      <w:r>
        <w:rPr>
          <w:rFonts w:hint="eastAsia" w:eastAsia="SimSun"/>
          <w:lang w:val="en-US" w:eastAsia="zh-CN"/>
        </w:rPr>
        <w:t>提出了</w:t>
      </w:r>
      <w:r>
        <w:t xml:space="preserve">“ESKAPE 细菌”即由 </w:t>
      </w:r>
      <w:r>
        <w:rPr>
          <w:rStyle w:val="135"/>
        </w:rPr>
        <w:t>Enterococcus faecium, Staphylococcus aureus, Klebsiella pneumoniae, Acinetobacter baumannii, Pseudomonas aeruginosa, Enterobacter</w:t>
      </w:r>
      <w:r>
        <w:t xml:space="preserve"> 等六大耐药病原</w:t>
      </w:r>
      <w:r>
        <w:rPr>
          <w:rFonts w:hint="eastAsia" w:eastAsia="SimSun"/>
          <w:lang w:val="en-US" w:eastAsia="zh-CN"/>
        </w:rPr>
        <w:t>的</w:t>
      </w:r>
      <w:r>
        <w:t>首字母组合而得。2008 年，Louis B. Rice 在其评论中指出，这些病原因为其高度的抗菌药物逃逸能力，成为医院获得性感染中最具挑战性的耐药威胁。</w:t>
      </w:r>
    </w:p>
    <w:p w14:paraId="6A140045">
      <w:pPr>
        <w:pStyle w:val="30"/>
        <w:keepNext w:val="0"/>
        <w:keepLines w:val="0"/>
        <w:widowControl/>
        <w:suppressLineNumbers w:val="0"/>
      </w:pPr>
      <w:r>
        <w:t>本研究针对的是另一类耐药机制——尤其关注于 Rifampicin 抗药性突变（rpoB 位点突变）在不同菌种间的分布与共演化。尽管 Rifampicin 耐药更多聚焦于结核分枝杆菌及相关病原，但从机制角度看，其耐药路径也与 ESKAPE 细菌中的多重耐药机制同样具备“选择压力下突变累积与传播”的特征。因此，探讨 Rifampicin 抗药突变与 ESKAPE 群体耐药模式之间的关联，有助于从更广义的抗菌耐药视角理解这些关键病原体如何“逃逸”治疗，并为监测、预防及治疗策略提供新的思路。</w:t>
      </w:r>
    </w:p>
    <w:p w14:paraId="52AAF01F">
      <w:pPr>
        <w:numPr>
          <w:numId w:val="0"/>
        </w:numPr>
        <w:rPr>
          <w:rFonts w:hint="default"/>
        </w:rPr>
      </w:pPr>
    </w:p>
    <w:p w14:paraId="49046BDC">
      <w:pPr>
        <w:numPr>
          <w:numId w:val="0"/>
        </w:numPr>
        <w:rPr>
          <w:rFonts w:hint="eastAsia" w:eastAsia="SimSun"/>
          <w:lang w:eastAsia="zh-CN"/>
        </w:rPr>
      </w:pPr>
      <w:r>
        <w:rPr>
          <w:rFonts w:ascii="SimSun" w:hAnsi="SimSun" w:eastAsia="SimSun" w:cs="SimSun"/>
          <w:sz w:val="24"/>
          <w:szCs w:val="24"/>
        </w:rPr>
        <w:t>分枝杆菌属（</w:t>
      </w:r>
      <w:r>
        <w:rPr>
          <w:rStyle w:val="135"/>
          <w:rFonts w:ascii="SimSun" w:hAnsi="SimSun" w:eastAsia="SimSun" w:cs="SimSun"/>
          <w:sz w:val="24"/>
          <w:szCs w:val="24"/>
        </w:rPr>
        <w:t>Mycobacterium</w:t>
      </w:r>
      <w:r>
        <w:rPr>
          <w:rFonts w:ascii="SimSun" w:hAnsi="SimSun" w:eastAsia="SimSun" w:cs="SimSun"/>
          <w:sz w:val="24"/>
          <w:szCs w:val="24"/>
        </w:rPr>
        <w:t>）以其独特的细胞壁结构和慢生特性，成为慢性病原感染的典型代表。其长期潜伏、细胞内存活及天然耐药性使其在感染生物学与药物耐受研究中占据核心地位。结核分枝杆菌（</w:t>
      </w:r>
      <w:r>
        <w:rPr>
          <w:rStyle w:val="135"/>
          <w:rFonts w:ascii="SimSun" w:hAnsi="SimSun" w:eastAsia="SimSun" w:cs="SimSun"/>
          <w:sz w:val="24"/>
          <w:szCs w:val="24"/>
        </w:rPr>
        <w:t>M. tuberculosis</w:t>
      </w:r>
      <w:r>
        <w:rPr>
          <w:rFonts w:ascii="SimSun" w:hAnsi="SimSun" w:eastAsia="SimSun" w:cs="SimSun"/>
          <w:sz w:val="24"/>
          <w:szCs w:val="24"/>
        </w:rPr>
        <w:t>）作为该属最重要的病原，至今仍导致全球最严重的慢性感染疾病之一</w:t>
      </w:r>
      <w:r>
        <w:rPr>
          <w:rFonts w:hint="eastAsia" w:ascii="SimSun" w:hAnsi="SimSun" w:eastAsia="SimSun" w:cs="SimSun"/>
          <w:sz w:val="24"/>
          <w:szCs w:val="24"/>
          <w:lang w:eastAsia="zh-CN"/>
        </w:rPr>
        <w:t>。</w:t>
      </w:r>
    </w:p>
    <w:p w14:paraId="2486786F">
      <w:pPr>
        <w:numPr>
          <w:numId w:val="0"/>
        </w:numPr>
        <w:rPr>
          <w:rFonts w:hint="eastAsia" w:eastAsia="SimSun"/>
          <w:lang w:eastAsia="zh-CN"/>
        </w:rPr>
      </w:pPr>
      <w:r>
        <w:rPr>
          <w:rFonts w:hint="eastAsia" w:ascii="SimSun" w:hAnsi="SimSun" w:eastAsia="SimSun" w:cs="SimSun"/>
          <w:sz w:val="24"/>
          <w:szCs w:val="24"/>
          <w:lang w:val="en-US" w:eastAsia="zh-CN"/>
        </w:rPr>
        <w:t>时至今日</w:t>
      </w:r>
      <w:r>
        <w:rPr>
          <w:rFonts w:ascii="SimSun" w:hAnsi="SimSun" w:eastAsia="SimSun" w:cs="SimSun"/>
          <w:sz w:val="24"/>
          <w:szCs w:val="24"/>
        </w:rPr>
        <w:t xml:space="preserve">结核病（TB）仍是全球最具负担的慢性传染病之一。根据世界卫生组织（WHO, 2023）报告，2022 年全球约有 </w:t>
      </w:r>
      <w:r>
        <w:rPr>
          <w:rStyle w:val="134"/>
          <w:rFonts w:ascii="SimSun" w:hAnsi="SimSun" w:eastAsia="SimSun" w:cs="SimSun"/>
          <w:sz w:val="24"/>
          <w:szCs w:val="24"/>
        </w:rPr>
        <w:t>1050 万</w:t>
      </w:r>
      <w:r>
        <w:rPr>
          <w:rFonts w:ascii="SimSun" w:hAnsi="SimSun" w:eastAsia="SimSun" w:cs="SimSun"/>
          <w:sz w:val="24"/>
          <w:szCs w:val="24"/>
        </w:rPr>
        <w:t xml:space="preserve"> 新发 TB 病例和 </w:t>
      </w:r>
      <w:r>
        <w:rPr>
          <w:rStyle w:val="134"/>
          <w:rFonts w:ascii="SimSun" w:hAnsi="SimSun" w:eastAsia="SimSun" w:cs="SimSun"/>
          <w:sz w:val="24"/>
          <w:szCs w:val="24"/>
        </w:rPr>
        <w:t>130 万</w:t>
      </w:r>
      <w:r>
        <w:rPr>
          <w:rFonts w:ascii="SimSun" w:hAnsi="SimSun" w:eastAsia="SimSun" w:cs="SimSun"/>
          <w:sz w:val="24"/>
          <w:szCs w:val="24"/>
        </w:rPr>
        <w:t xml:space="preserve"> 相关死亡病例。其中，</w:t>
      </w:r>
      <w:r>
        <w:rPr>
          <w:rStyle w:val="134"/>
          <w:rFonts w:ascii="SimSun" w:hAnsi="SimSun" w:eastAsia="SimSun" w:cs="SimSun"/>
          <w:sz w:val="24"/>
          <w:szCs w:val="24"/>
        </w:rPr>
        <w:t>耐药结核病（Drug-Resistant TB, DR-TB）</w:t>
      </w:r>
      <w:r>
        <w:rPr>
          <w:rFonts w:ascii="SimSun" w:hAnsi="SimSun" w:eastAsia="SimSun" w:cs="SimSun"/>
          <w:sz w:val="24"/>
          <w:szCs w:val="24"/>
        </w:rPr>
        <w:t xml:space="preserve"> 的持续流行构成了抗击结核的最大障碍。</w:t>
      </w:r>
      <w:r>
        <w:rPr>
          <w:rFonts w:ascii="SimSun" w:hAnsi="SimSun" w:eastAsia="SimSun" w:cs="SimSun"/>
          <w:sz w:val="24"/>
          <w:szCs w:val="24"/>
        </w:rPr>
        <w:br w:type="textWrapping"/>
      </w:r>
      <w:r>
        <w:rPr>
          <w:rStyle w:val="134"/>
          <w:rFonts w:ascii="SimSun" w:hAnsi="SimSun" w:eastAsia="SimSun" w:cs="SimSun"/>
          <w:sz w:val="24"/>
          <w:szCs w:val="24"/>
        </w:rPr>
        <w:t>多重耐药结核（MDR-TB）</w:t>
      </w:r>
      <w:r>
        <w:rPr>
          <w:rFonts w:ascii="SimSun" w:hAnsi="SimSun" w:eastAsia="SimSun" w:cs="SimSun"/>
          <w:sz w:val="24"/>
          <w:szCs w:val="24"/>
        </w:rPr>
        <w:t xml:space="preserve"> 指同时对至少异烟肼（Isoniazid）与利福平（Rifampicin）耐药的菌株；而 </w:t>
      </w:r>
      <w:r>
        <w:rPr>
          <w:rStyle w:val="134"/>
          <w:rFonts w:ascii="SimSun" w:hAnsi="SimSun" w:eastAsia="SimSun" w:cs="SimSun"/>
          <w:sz w:val="24"/>
          <w:szCs w:val="24"/>
        </w:rPr>
        <w:t>广泛耐药结核（XDR-TB）</w:t>
      </w:r>
      <w:r>
        <w:rPr>
          <w:rFonts w:ascii="SimSun" w:hAnsi="SimSun" w:eastAsia="SimSun" w:cs="SimSun"/>
          <w:sz w:val="24"/>
          <w:szCs w:val="24"/>
        </w:rPr>
        <w:t xml:space="preserve"> 则在 MDR 基础上进一步对氟喹诺酮类及至少一种二线注射药物（如阿米卡星或卷曲霉素）耐药。2022 年约有 </w:t>
      </w:r>
      <w:r>
        <w:rPr>
          <w:rStyle w:val="134"/>
          <w:rFonts w:ascii="SimSun" w:hAnsi="SimSun" w:eastAsia="SimSun" w:cs="SimSun"/>
          <w:sz w:val="24"/>
          <w:szCs w:val="24"/>
        </w:rPr>
        <w:t>45 万例</w:t>
      </w:r>
      <w:r>
        <w:rPr>
          <w:rFonts w:ascii="SimSun" w:hAnsi="SimSun" w:eastAsia="SimSun" w:cs="SimSun"/>
          <w:sz w:val="24"/>
          <w:szCs w:val="24"/>
        </w:rPr>
        <w:t xml:space="preserve"> 新发利福平耐药病例（其中多数为 MDR-TB），治愈率仅约 </w:t>
      </w:r>
      <w:r>
        <w:rPr>
          <w:rStyle w:val="134"/>
          <w:rFonts w:ascii="SimSun" w:hAnsi="SimSun" w:eastAsia="SimSun" w:cs="SimSun"/>
          <w:sz w:val="24"/>
          <w:szCs w:val="24"/>
        </w:rPr>
        <w:t>60%</w:t>
      </w:r>
      <w:r>
        <w:rPr>
          <w:rFonts w:ascii="SimSun" w:hAnsi="SimSun" w:eastAsia="SimSun" w:cs="SimSun"/>
          <w:sz w:val="24"/>
          <w:szCs w:val="24"/>
        </w:rPr>
        <w:t>（WHO Global TB Report 2023）。</w:t>
      </w:r>
    </w:p>
    <w:p w14:paraId="1A689486">
      <w:pPr>
        <w:numPr>
          <w:numId w:val="0"/>
        </w:numPr>
        <w:rPr>
          <w:rFonts w:hint="default"/>
        </w:rPr>
      </w:pPr>
    </w:p>
    <w:p w14:paraId="35C829A4">
      <w:pPr>
        <w:numPr>
          <w:ilvl w:val="0"/>
          <w:numId w:val="0"/>
        </w:numPr>
        <w:rPr>
          <w:rFonts w:hint="default"/>
        </w:rPr>
      </w:pPr>
      <w:r>
        <w:rPr>
          <w:rFonts w:hint="default"/>
        </w:rPr>
        <w:t>Rifampicin（RIF） 是目前针对分枝杆菌属（尤其是 M. tuberculosis）最有效的抗生素之一。</w:t>
      </w:r>
    </w:p>
    <w:p w14:paraId="78720368">
      <w:pPr>
        <w:numPr>
          <w:ilvl w:val="0"/>
          <w:numId w:val="0"/>
        </w:numPr>
        <w:rPr>
          <w:rFonts w:hint="default"/>
        </w:rPr>
      </w:pPr>
      <w:r>
        <w:rPr>
          <w:rFonts w:hint="default"/>
        </w:rPr>
        <w:t>它属于 利福霉素类（Rifamycins），通过结合 RNA 聚合酶 β 亚基（由 rpoB 基因编码）来抑制细菌转录。</w:t>
      </w:r>
    </w:p>
    <w:p w14:paraId="1E33E924">
      <w:pPr>
        <w:numPr>
          <w:ilvl w:val="0"/>
          <w:numId w:val="0"/>
        </w:numPr>
        <w:rPr>
          <w:rFonts w:hint="default"/>
        </w:rPr>
      </w:pPr>
      <w:r>
        <w:rPr>
          <w:rFonts w:hint="default"/>
        </w:rPr>
        <w:t>因此，RIF 可以有效杀灭活跃复制与部分静止状态的分枝杆菌，是打破“慢性感染壁垒”的关键药物。</w:t>
      </w:r>
    </w:p>
    <w:p w14:paraId="6CE920C4">
      <w:pPr>
        <w:numPr>
          <w:numId w:val="0"/>
        </w:numPr>
        <w:rPr>
          <w:rFonts w:hint="default"/>
          <w:lang w:val="en-US"/>
        </w:rPr>
      </w:pPr>
      <w:r>
        <w:rPr>
          <w:rFonts w:hint="default"/>
        </w:rPr>
        <w:t>在 WHO 推荐的“短程复合化疗方案”（HRZE 方案）中，RIF 与异烟肼（H）、吡嗪酰胺（Z）、乙胺丁醇（E）联合使用，是全球 TB 控制战略的基石。然而，RIF 的单药耐药（Rifampicin-Resistant TB, RR-TB）即被视作 MDR-TB 的预警指标，因为 rpoB 位点突变往往与其他药物耐受突变共存。近年来，基于 rpoB 的快速分子诊断（如 Xpert MTB/RIF 和 line-probe assay）已成为临床检测耐药结核的关键手段。</w:t>
      </w:r>
    </w:p>
    <w:p w14:paraId="43C39356">
      <w:pPr>
        <w:numPr>
          <w:numId w:val="0"/>
        </w:numPr>
        <w:rPr>
          <w:rFonts w:hint="default"/>
        </w:rPr>
      </w:pPr>
    </w:p>
    <w:p w14:paraId="1446ABA5">
      <w:pPr>
        <w:numPr>
          <w:ilvl w:val="0"/>
          <w:numId w:val="0"/>
        </w:numPr>
        <w:rPr>
          <w:rFonts w:hint="default"/>
        </w:rPr>
      </w:pPr>
    </w:p>
    <w:p w14:paraId="17554314">
      <w:pPr>
        <w:numPr>
          <w:ilvl w:val="0"/>
          <w:numId w:val="0"/>
        </w:numPr>
        <w:rPr>
          <w:rFonts w:hint="default"/>
        </w:rPr>
      </w:pPr>
      <w:r>
        <w:rPr>
          <w:rFonts w:hint="default"/>
        </w:rPr>
        <w:t>自 1960 年代问世以来，利福平（RIF）一直是结核病标准化治疗方案中的首选一线药物。其通过与 RNA 聚合酶 β 亚基（由 rpoB 基因编码）结合，抑制 RNA 合成，从而阻断细菌转录活动。由于其杀菌力强、组织渗透性好、对细胞内静止菌亦有效，RIF 被视为实现短程化疗（6 个月标准疗程）的关键药物。</w:t>
      </w:r>
    </w:p>
    <w:p w14:paraId="15CA5676">
      <w:pPr>
        <w:numPr>
          <w:numId w:val="0"/>
        </w:numPr>
        <w:rPr>
          <w:rFonts w:hint="default"/>
        </w:rPr>
      </w:pPr>
    </w:p>
    <w:p w14:paraId="62C7C0C4">
      <w:pPr>
        <w:numPr>
          <w:numId w:val="0"/>
        </w:numPr>
        <w:rPr>
          <w:rFonts w:hint="default"/>
        </w:rPr>
      </w:pPr>
      <w:r>
        <w:rPr>
          <w:rFonts w:hint="eastAsia" w:eastAsia="SimSun"/>
          <w:lang w:val="en-US" w:eastAsia="zh-CN"/>
        </w:rPr>
        <w:t>在化学结构方面，</w:t>
      </w:r>
      <w:r>
        <w:rPr>
          <w:rFonts w:hint="default"/>
        </w:rPr>
        <w:t>利福平（Rifampicin, RIF）属于利福霉素类（Rifamycins）抗生素，为一种半合成的芳香族大环内酯化合物，分子式为 C₄₃H₅₈N₄O₁₂，分子量约 823.94 Da。其化学骨架由一个**芳香萘醌环（aromatic naphthoquinone nucleus）与一个含氮吡嗪酮结构（piperazine-like or hydrazone moiety）**通过脂肪族支链相连，形成高度共轭的刚性结构。这种结构赋予了 Rifampicin 优良的脂溶性，使其能够穿透结核分枝杆菌（Mycobacterium tuberculosis）富含分枝酸的细胞壁。</w:t>
      </w:r>
    </w:p>
    <w:p w14:paraId="298B9DDA">
      <w:pPr>
        <w:numPr>
          <w:numId w:val="0"/>
        </w:numPr>
        <w:rPr>
          <w:rFonts w:hint="default"/>
        </w:rPr>
      </w:pPr>
    </w:p>
    <w:p w14:paraId="7BA41E93">
      <w:pPr>
        <w:numPr>
          <w:numId w:val="0"/>
        </w:numPr>
        <w:rPr>
          <w:rFonts w:hint="default"/>
        </w:rPr>
      </w:pPr>
      <w:r>
        <w:rPr>
          <w:rFonts w:hint="default"/>
        </w:rPr>
        <w:t>Rifampicin 的药理活性核心在于其能特异性结合细菌 RNA 聚合酶 β 亚基（由 rpoB 编码），通过与其“rifampicin binding pocket” 形成氢键及疏水相互作用，阻断 RNA 链的延伸，从而抑制转录。该作用机制对革兰阳性菌、部分革兰阴性菌及放线菌均有效，但对真核细胞 RNA 聚合酶无明显影响，因此选择性较高。</w:t>
      </w:r>
    </w:p>
    <w:p w14:paraId="5D0156B0">
      <w:pPr>
        <w:numPr>
          <w:numId w:val="0"/>
        </w:numPr>
        <w:rPr>
          <w:rFonts w:hint="default"/>
        </w:rPr>
      </w:pPr>
      <w:r>
        <w:rPr>
          <w:rFonts w:hint="default"/>
        </w:rPr>
        <w:t>Rifampicin 口服后吸收迅速，在空腹状态下生物利用度约为 70–90%。其高脂溶性有助于广泛分布于机体组织，包括肺组织、脑脊液、肝脏、肾脏及吞噬细胞内，尤其在结核病灶组织中浓度较高。血浆蛋白结合率约 80%，半衰期为 2–5 小时（长期用药可因酶诱导而缩短）。</w:t>
      </w:r>
    </w:p>
    <w:p w14:paraId="7A7E4349">
      <w:pPr>
        <w:numPr>
          <w:numId w:val="0"/>
        </w:numPr>
        <w:rPr>
          <w:rFonts w:hint="default"/>
        </w:rPr>
      </w:pPr>
    </w:p>
    <w:p w14:paraId="22382C61">
      <w:pPr>
        <w:numPr>
          <w:numId w:val="0"/>
        </w:numPr>
        <w:rPr>
          <w:rFonts w:hint="default"/>
        </w:rPr>
      </w:pPr>
      <w:r>
        <w:rPr>
          <w:rFonts w:hint="default"/>
        </w:rPr>
        <w:t>Rifampicin 主要在肝脏经细胞色素 P450（CYP3A4）及 CYP2C 系统代谢为去乙酰化活性产物（desacetyl-rifampicin），仍保留部分抗菌活性。RIF 同时是强效  诱导剂，可显著加快多种药物（如抗病毒药、激素、抗凝药）的代谢，</w:t>
      </w:r>
      <w:r>
        <w:rPr>
          <w:rFonts w:hint="eastAsia" w:eastAsia="SimSun"/>
          <w:lang w:val="en-US" w:eastAsia="zh-CN"/>
        </w:rPr>
        <w:t>可以作为促进</w:t>
      </w:r>
      <w:r>
        <w:rPr>
          <w:rFonts w:hint="default"/>
        </w:rPr>
        <w:t>药物相互作用的</w:t>
      </w:r>
      <w:r>
        <w:rPr>
          <w:rFonts w:hint="eastAsia" w:eastAsia="SimSun"/>
          <w:lang w:val="en-US" w:eastAsia="zh-CN"/>
        </w:rPr>
        <w:t>诱因</w:t>
      </w:r>
      <w:r>
        <w:rPr>
          <w:rFonts w:hint="default"/>
        </w:rPr>
        <w:t>。</w:t>
      </w:r>
    </w:p>
    <w:p w14:paraId="54DE3C12">
      <w:pPr>
        <w:numPr>
          <w:numId w:val="0"/>
        </w:numPr>
        <w:rPr>
          <w:rFonts w:hint="default"/>
        </w:rPr>
      </w:pPr>
    </w:p>
    <w:p w14:paraId="01E2CFD2">
      <w:pPr>
        <w:numPr>
          <w:numId w:val="0"/>
        </w:numPr>
        <w:rPr>
          <w:rFonts w:hint="default"/>
        </w:rPr>
      </w:pPr>
      <w:r>
        <w:rPr>
          <w:rFonts w:hint="default"/>
        </w:rPr>
        <w:t>药物及其代谢物主要通过胆汁排泄，部分经肠肝循环重新吸收，因此常见粪便呈橙红色。约 30% 的药物以原形或代谢物形式经尿排出。由于 Rifampicin 的代谢依赖肝脏功能，肝损伤或酶诱导状态（如长期饮酒或共用苯妥英、卡马西平）可显著影响其血药浓度。</w:t>
      </w:r>
    </w:p>
    <w:p w14:paraId="7F4E7691">
      <w:pPr>
        <w:numPr>
          <w:numId w:val="0"/>
        </w:numPr>
        <w:rPr>
          <w:rFonts w:hint="default"/>
        </w:rPr>
      </w:pPr>
    </w:p>
    <w:p w14:paraId="42F3DB40">
      <w:pPr>
        <w:numPr>
          <w:numId w:val="0"/>
        </w:numPr>
        <w:rPr>
          <w:rFonts w:hint="eastAsia" w:eastAsia="SimSun"/>
          <w:lang w:val="en-US" w:eastAsia="zh-CN"/>
        </w:rPr>
      </w:pPr>
      <w:r>
        <w:rPr>
          <w:rFonts w:hint="eastAsia" w:eastAsia="SimSun"/>
          <w:lang w:val="en-US" w:eastAsia="zh-CN"/>
        </w:rPr>
        <w:t>在临床应用方面，RIF</w:t>
      </w:r>
      <w:r>
        <w:rPr>
          <w:rFonts w:hint="eastAsia" w:ascii="SimSun" w:hAnsi="SimSun" w:eastAsia="SimSun" w:cs="SimSun"/>
          <w:sz w:val="24"/>
          <w:szCs w:val="24"/>
          <w:lang w:val="en-US" w:eastAsia="zh-CN"/>
        </w:rPr>
        <w:t>也被</w:t>
      </w:r>
      <w:r>
        <w:rPr>
          <w:rFonts w:ascii="SimSun" w:hAnsi="SimSun" w:eastAsia="SimSun" w:cs="SimSun"/>
          <w:sz w:val="24"/>
          <w:szCs w:val="24"/>
        </w:rPr>
        <w:t>扩展至</w:t>
      </w:r>
      <w:r>
        <w:rPr>
          <w:rFonts w:hint="eastAsia" w:ascii="SimSun" w:hAnsi="SimSun" w:eastAsia="SimSun" w:cs="SimSun"/>
          <w:sz w:val="24"/>
          <w:szCs w:val="24"/>
          <w:lang w:val="en-US" w:eastAsia="zh-CN"/>
        </w:rPr>
        <w:t>用于治疗</w:t>
      </w:r>
      <w:r>
        <w:rPr>
          <w:rFonts w:ascii="SimSun" w:hAnsi="SimSun" w:eastAsia="SimSun" w:cs="SimSun"/>
          <w:sz w:val="24"/>
          <w:szCs w:val="24"/>
        </w:rPr>
        <w:t>多种细菌感染和预防</w:t>
      </w:r>
      <w:r>
        <w:rPr>
          <w:rFonts w:hint="eastAsia" w:ascii="SimSun" w:hAnsi="SimSun" w:eastAsia="SimSun" w:cs="SimSun"/>
          <w:sz w:val="24"/>
          <w:szCs w:val="24"/>
          <w:lang w:eastAsia="zh-CN"/>
        </w:rPr>
        <w:t>。</w:t>
      </w:r>
      <w:r>
        <w:rPr>
          <w:rFonts w:hint="eastAsia" w:eastAsia="SimSun"/>
          <w:lang w:val="en-US" w:eastAsia="zh-CN"/>
        </w:rPr>
        <w:t>在麻风病（Leprosy, Hansen’s disease）的治疗中，世界卫生组织推荐将利福平与氯法齐明（Clofazimine）及氨苯砜（Dapsone）联合使用，构成多药联合疗法（MDT）核心方案，成人典型剂量为 600 mg 每月一次，疗程分别为多菌型 12 个月、少菌型 6 个月。</w:t>
      </w:r>
    </w:p>
    <w:p w14:paraId="44969C0A">
      <w:pPr>
        <w:numPr>
          <w:numId w:val="0"/>
        </w:numPr>
        <w:rPr>
          <w:rFonts w:hint="eastAsia" w:eastAsia="SimSun"/>
          <w:lang w:val="en-US" w:eastAsia="zh-CN"/>
        </w:rPr>
      </w:pPr>
      <w:r>
        <w:rPr>
          <w:rFonts w:hint="eastAsia" w:eastAsia="SimSun"/>
          <w:lang w:val="en-US" w:eastAsia="zh-CN"/>
        </w:rPr>
        <w:t>此外，利福平亦被用于某些假体相关感染（prosthetic joint infections, PJI）尤其由葡萄球菌（Staphylococcus spp.）引起的情况。研究指出，将利福平与其他抗菌药（如 β-内酰胺类或万古霉素）联合使用，可增强对生物膜内细菌的穿透与清除作用。例如一项涵盖 669 例患者的多中心观察研究显示，使用利福平联合治疗组的治疗失败率为 32.2%，而未使用组为 54.2%。</w:t>
      </w:r>
    </w:p>
    <w:p w14:paraId="126AE32F">
      <w:pPr>
        <w:numPr>
          <w:numId w:val="0"/>
        </w:numPr>
        <w:rPr>
          <w:rFonts w:hint="eastAsia" w:eastAsia="SimSun"/>
          <w:lang w:val="en-US" w:eastAsia="zh-CN"/>
        </w:rPr>
      </w:pPr>
      <w:r>
        <w:rPr>
          <w:rFonts w:hint="eastAsia" w:eastAsia="SimSun"/>
          <w:lang w:val="en-US" w:eastAsia="zh-CN"/>
        </w:rPr>
        <w:t>同时，利福平也被用于脑膜炎球菌（Neisseria meningitidis）携带者暴露后预防，旨在消除鼻咽部菌携带状态，从而减少爆发传播风险。</w:t>
      </w:r>
    </w:p>
    <w:p w14:paraId="5A32135C">
      <w:pPr>
        <w:numPr>
          <w:numId w:val="0"/>
        </w:numPr>
        <w:rPr>
          <w:rFonts w:hint="default" w:eastAsia="SimSun"/>
          <w:lang w:val="en-US" w:eastAsia="zh-CN"/>
        </w:rPr>
      </w:pPr>
      <w:r>
        <w:rPr>
          <w:rFonts w:hint="eastAsia" w:eastAsia="SimSun"/>
          <w:lang w:val="en-US" w:eastAsia="zh-CN"/>
        </w:rPr>
        <w:t>针对非结核分枝杆菌（NTM）感染，尽管不是其主要适应症，利福平常与大环内酯类、乙胺丁醇等联合应用，用于 Mycobacterium avium、M. kansasii 等病原的治疗</w:t>
      </w:r>
    </w:p>
    <w:p w14:paraId="2C0ABAE0">
      <w:pPr>
        <w:numPr>
          <w:numId w:val="0"/>
        </w:numPr>
        <w:rPr>
          <w:rFonts w:hint="eastAsia" w:eastAsia="SimSun"/>
          <w:lang w:val="en-US" w:eastAsia="zh-CN"/>
        </w:rPr>
      </w:pPr>
      <w:r>
        <w:rPr>
          <w:rFonts w:hint="eastAsia" w:eastAsia="SimSun"/>
          <w:lang w:val="en-US" w:eastAsia="zh-CN"/>
        </w:rPr>
        <w:t xml:space="preserve">RIF的主要作用靶点是细菌的 DNA 依赖性 RNA 聚合酶（RNA polymerase, RNAP）。该酶复合体由多个亚基组成，包括 </w:t>
      </w:r>
      <m:oMath>
        <m:sSub>
          <m:sSubPr>
            <m:ctrlPr>
              <w:rPr>
                <w:rFonts w:ascii="Cambria Math" w:hAnsi="Cambria Math"/>
                <w:i/>
                <w:lang w:val="en-US"/>
              </w:rPr>
            </m:ctrlPr>
          </m:sSubPr>
          <m:e>
            <m:r>
              <m:rPr/>
              <w:rPr>
                <w:rFonts w:ascii="Cambria Math" w:hAnsi="Cambria Math"/>
                <w:lang w:val="en-US"/>
              </w:rPr>
              <m:t>α</m:t>
            </m:r>
            <m:ctrlPr>
              <w:rPr>
                <w:rFonts w:ascii="Cambria Math" w:hAnsi="Cambria Math"/>
                <w:i/>
                <w:lang w:val="en-US"/>
              </w:rPr>
            </m:ctrlPr>
          </m:e>
          <m:sub>
            <m:r>
              <m:rPr/>
              <w:rPr>
                <w:rFonts w:hint="default" w:ascii="Cambria Math" w:hAnsi="Cambria Math" w:eastAsia="SimSun"/>
                <w:lang w:val="en-US" w:eastAsia="zh-CN"/>
              </w:rPr>
              <m:t>2</m:t>
            </m:r>
            <m:ctrlPr>
              <w:rPr>
                <w:rFonts w:ascii="Cambria Math" w:hAnsi="Cambria Math"/>
                <w:i/>
                <w:lang w:val="en-US"/>
              </w:rPr>
            </m:ctrlPr>
          </m:sub>
        </m:sSub>
        <m:r>
          <w:rPr>
            <w:rFonts w:hint="default" w:ascii="Cambria Math" w:hAnsi="Cambria Math" w:cs="Cambria Math"/>
            <w:lang w:val="en-US"/>
          </w:rPr>
          <m:t>ββ</m:t>
        </m:r>
        <m:r>
          <m:rPr/>
          <w:rPr>
            <w:rFonts w:hint="eastAsia" w:ascii="Cambria Math" w:hAnsi="Cambria Math" w:eastAsia="SimSun" w:cs="Cambria Math"/>
            <w:lang w:val="en-US" w:eastAsia="zh-CN"/>
          </w:rPr>
          <m:t>’</m:t>
        </m:r>
        <m:r>
          <m:rPr/>
          <w:rPr>
            <w:rFonts w:hint="default" w:ascii="Cambria Math" w:hAnsi="Cambria Math" w:eastAsia="SimSun" w:cs="Cambria Math"/>
            <w:lang w:val="en-US" w:eastAsia="zh-CN"/>
          </w:rPr>
          <m:t>σ</m:t>
        </m:r>
      </m:oMath>
      <w:r>
        <w:rPr>
          <w:rFonts w:hint="eastAsia" w:eastAsia="SimSun"/>
          <w:lang w:val="en-US" w:eastAsia="zh-CN"/>
        </w:rPr>
        <w:t xml:space="preserve"> 等，其中 </w:t>
      </w:r>
      <m:oMath>
        <m:r>
          <m:rPr/>
          <w:rPr>
            <w:rFonts w:hint="default" w:ascii="Cambria Math" w:hAnsi="Cambria Math" w:cs="Cambria Math"/>
            <w:lang w:val="en-US"/>
          </w:rPr>
          <m:t>β</m:t>
        </m:r>
      </m:oMath>
      <w:r>
        <w:rPr>
          <w:rFonts w:hint="eastAsia" w:eastAsia="SimSun"/>
          <w:lang w:val="en-US" w:eastAsia="zh-CN"/>
        </w:rPr>
        <w:t xml:space="preserve"> 亚基（RpoB） 是催化转录反应的核心成分，负责结合核苷酸并延伸 RNA 链。由于 RNAP 是所有细菌转录过程的必需酶，RpoB 在转录起始、DNA 解链、RNA 合成及转录泡稳定中发挥关键作用，因此成为多种广谱抗生素的重要靶点。</w:t>
      </w:r>
    </w:p>
    <w:p w14:paraId="77827B0A">
      <w:pPr>
        <w:numPr>
          <w:numId w:val="0"/>
        </w:numPr>
        <w:rPr>
          <w:rFonts w:hint="eastAsia" w:eastAsia="SimSun"/>
          <w:lang w:val="en-US" w:eastAsia="zh-CN"/>
        </w:rPr>
      </w:pPr>
    </w:p>
    <w:p w14:paraId="0FE6F193">
      <w:pPr>
        <w:numPr>
          <w:numId w:val="0"/>
        </w:numPr>
        <w:rPr>
          <w:rFonts w:hint="eastAsia" w:eastAsia="SimSun"/>
          <w:lang w:val="en-US" w:eastAsia="zh-CN"/>
        </w:rPr>
      </w:pPr>
      <w:r>
        <w:rPr>
          <w:rFonts w:hint="eastAsia" w:eastAsia="SimSun"/>
          <w:lang w:val="en-US" w:eastAsia="zh-CN"/>
        </w:rPr>
        <w:t>Rifampicin 通过与 RpoB 的特定位点结合来抑制转录，该位点位于</w:t>
      </w:r>
      <m:oMath>
        <m:r>
          <m:rPr/>
          <w:rPr>
            <w:rFonts w:hint="default" w:ascii="Cambria Math" w:hAnsi="Cambria Math" w:cs="Cambria Math"/>
            <w:lang w:val="en-US"/>
          </w:rPr>
          <m:t>β</m:t>
        </m:r>
      </m:oMath>
      <w:r>
        <w:rPr>
          <w:rFonts w:hint="eastAsia" w:eastAsia="SimSun"/>
          <w:lang w:val="en-US" w:eastAsia="zh-CN"/>
        </w:rPr>
        <w:t xml:space="preserve"> 亚基内一个长度约 81 bp 的保守区域，称为 Rifampicin Resistance-Determining Region (RRDR)。该区域在结核分枝杆菌 (Mycobacterium tuberculosis) 中对应 RpoB 的第 426–452 位氨基酸残基。结构研究表明，Rifampicin 的芳香萘环结构能够嵌入 RNAP 的通道中，与多个关键残基（如 Ser450、His445、Asp435 等）形成氢键与疏水相互作用。结合后，Rifampicin 会阻止 RNA 链从起始阶段进入延伸阶段，使新生 RNA 链无法超过 2–3 个核苷酸长度，从而终止转录过程并导致细菌死亡。</w:t>
      </w:r>
    </w:p>
    <w:p w14:paraId="1AA0D94D">
      <w:pPr>
        <w:numPr>
          <w:numId w:val="0"/>
        </w:numPr>
        <w:rPr>
          <w:rFonts w:hint="eastAsia" w:eastAsia="SimSun"/>
          <w:lang w:val="en-US" w:eastAsia="zh-CN"/>
        </w:rPr>
      </w:pPr>
    </w:p>
    <w:p w14:paraId="00C7F527">
      <w:pPr>
        <w:numPr>
          <w:numId w:val="0"/>
        </w:numPr>
        <w:rPr>
          <w:rFonts w:hint="eastAsia" w:eastAsia="SimSun"/>
          <w:lang w:val="en-US" w:eastAsia="zh-CN"/>
        </w:rPr>
      </w:pPr>
      <w:r>
        <w:rPr>
          <w:rFonts w:hint="eastAsia" w:eastAsia="SimSun"/>
          <w:lang w:val="en-US" w:eastAsia="zh-CN"/>
        </w:rPr>
        <w:t>然而，当 rpoB 基因发生突变时，特别是在 RRDR 区域内的氨基酸替换（如 S450L、H445Y、D435V 等），会引起 RpoB 结合口袋的构象和电荷环境改变，破坏 Rifampicin 结合所需的关键氢键网络与疏水相互作用。这些突变显著降低 Rifampicin 与 RNAP 的亲和力或阻止药物进入结合口袋，从而导致抗药性产生。约 90–95% 的 Rifampicin耐药结核菌株可在 RRDR 区检测到突变（Zhao et al., 2020）。此外，部分突变还可在一定程度上影响 RNA 聚合酶的催化效率，形成代谢成本与适应性之间的权衡，为耐药菌株的长期存活提供进化基础（Helmann et al., 2023；Das et al., 2020）。</w:t>
      </w:r>
    </w:p>
    <w:p w14:paraId="29C653DF">
      <w:pPr>
        <w:numPr>
          <w:numId w:val="0"/>
        </w:numPr>
        <w:rPr>
          <w:rFonts w:hint="eastAsia" w:eastAsia="SimSun"/>
          <w:lang w:val="en-US" w:eastAsia="zh-CN"/>
        </w:rPr>
      </w:pPr>
    </w:p>
    <w:p w14:paraId="036CB290">
      <w:pPr>
        <w:numPr>
          <w:numId w:val="0"/>
        </w:numPr>
        <w:rPr>
          <w:rFonts w:hint="default" w:eastAsia="SimSun"/>
          <w:lang w:val="en-US" w:eastAsia="zh-CN"/>
        </w:rPr>
      </w:pPr>
      <w:r>
        <w:rPr>
          <w:rFonts w:hint="eastAsia" w:eastAsia="SimSun"/>
          <w:lang w:val="en-US" w:eastAsia="zh-CN"/>
        </w:rPr>
        <w:t>因此，RpoB 不仅是 Rifampicin 的直接靶点，也是结核分枝杆菌耐药性最重要的分子标志之一。对 rpoB 突变的结构和功能研究，不仅为理解 Rifampicin 的作用机制提供了精确分子基础，也为开发新一代 RNA 聚合酶抑制剂和快速耐药诊断工具奠定了理论依据。</w:t>
      </w:r>
    </w:p>
    <w:p w14:paraId="3500BFF4">
      <w:pPr>
        <w:numPr>
          <w:numId w:val="0"/>
        </w:numPr>
        <w:rPr>
          <w:rFonts w:hint="default"/>
        </w:rPr>
      </w:pPr>
    </w:p>
    <w:p w14:paraId="02ECD23C">
      <w:pPr>
        <w:numPr>
          <w:numId w:val="0"/>
        </w:numPr>
        <w:rPr>
          <w:rFonts w:hint="default"/>
        </w:rPr>
      </w:pPr>
      <w:r>
        <w:rPr>
          <w:rFonts w:hint="default"/>
        </w:rPr>
        <w:t>3. 利福平抗药性（Rif-resistance）的分子基础</w:t>
      </w:r>
    </w:p>
    <w:p w14:paraId="01BBA98B">
      <w:pPr>
        <w:numPr>
          <w:numId w:val="0"/>
        </w:numPr>
        <w:rPr>
          <w:rFonts w:hint="default"/>
        </w:rPr>
      </w:pPr>
    </w:p>
    <w:p w14:paraId="6D13605D">
      <w:pPr>
        <w:numPr>
          <w:numId w:val="0"/>
        </w:numPr>
        <w:rPr>
          <w:rFonts w:hint="default"/>
        </w:rPr>
      </w:pPr>
      <w:r>
        <w:rPr>
          <w:rFonts w:hint="default"/>
        </w:rPr>
        <w:t>3.1 rpoB突变与耐药机制</w:t>
      </w:r>
    </w:p>
    <w:p w14:paraId="5D87D85A">
      <w:pPr>
        <w:numPr>
          <w:numId w:val="0"/>
        </w:numPr>
        <w:rPr>
          <w:rFonts w:hint="default"/>
        </w:rPr>
      </w:pPr>
    </w:p>
    <w:p w14:paraId="205D8F66">
      <w:pPr>
        <w:numPr>
          <w:numId w:val="0"/>
        </w:numPr>
        <w:rPr>
          <w:rFonts w:hint="default"/>
        </w:rPr>
      </w:pPr>
      <w:r>
        <w:rPr>
          <w:rFonts w:hint="default"/>
        </w:rPr>
        <w:t>经典突变位点（S531L, H526Y/D, D516V）</w:t>
      </w:r>
    </w:p>
    <w:p w14:paraId="06AAE436">
      <w:pPr>
        <w:numPr>
          <w:numId w:val="0"/>
        </w:numPr>
        <w:rPr>
          <w:rFonts w:hint="default"/>
        </w:rPr>
      </w:pPr>
    </w:p>
    <w:p w14:paraId="3BEC430E">
      <w:pPr>
        <w:numPr>
          <w:numId w:val="0"/>
        </w:numPr>
        <w:rPr>
          <w:rFonts w:hint="default"/>
        </w:rPr>
      </w:pPr>
      <w:r>
        <w:rPr>
          <w:rFonts w:hint="default"/>
        </w:rPr>
        <w:t>突变如何改变Rif结合亲和力</w:t>
      </w:r>
    </w:p>
    <w:p w14:paraId="39E761D9">
      <w:pPr>
        <w:numPr>
          <w:numId w:val="0"/>
        </w:numPr>
        <w:rPr>
          <w:rFonts w:hint="default"/>
        </w:rPr>
      </w:pPr>
    </w:p>
    <w:p w14:paraId="1A90D053">
      <w:pPr>
        <w:numPr>
          <w:numId w:val="0"/>
        </w:numPr>
        <w:rPr>
          <w:rFonts w:hint="default"/>
        </w:rPr>
      </w:pPr>
      <w:r>
        <w:rPr>
          <w:rFonts w:hint="default"/>
        </w:rPr>
        <w:t>不同突变导致不同水平的耐药性与适应代价（fitness cost）</w:t>
      </w:r>
    </w:p>
    <w:p w14:paraId="65347021">
      <w:pPr>
        <w:numPr>
          <w:numId w:val="0"/>
        </w:numPr>
        <w:rPr>
          <w:rFonts w:hint="default"/>
        </w:rPr>
      </w:pPr>
    </w:p>
    <w:p w14:paraId="6740F849">
      <w:pPr>
        <w:numPr>
          <w:numId w:val="0"/>
        </w:numPr>
        <w:rPr>
          <w:rFonts w:hint="default"/>
        </w:rPr>
      </w:pPr>
      <w:r>
        <w:rPr>
          <w:rFonts w:hint="default"/>
        </w:rPr>
        <w:t>3.2 其他辅助耐药机制</w:t>
      </w:r>
    </w:p>
    <w:p w14:paraId="3EA224A0">
      <w:pPr>
        <w:numPr>
          <w:numId w:val="0"/>
        </w:numPr>
        <w:rPr>
          <w:rFonts w:hint="default"/>
        </w:rPr>
      </w:pPr>
    </w:p>
    <w:p w14:paraId="3B1670F1">
      <w:pPr>
        <w:numPr>
          <w:numId w:val="0"/>
        </w:numPr>
        <w:rPr>
          <w:rFonts w:hint="default"/>
        </w:rPr>
      </w:pPr>
      <w:r>
        <w:rPr>
          <w:rFonts w:hint="default"/>
        </w:rPr>
        <w:t>外排泵系统（efflux pump）上调</w:t>
      </w:r>
    </w:p>
    <w:p w14:paraId="4BE096A4">
      <w:pPr>
        <w:numPr>
          <w:numId w:val="0"/>
        </w:numPr>
        <w:rPr>
          <w:rFonts w:hint="default"/>
        </w:rPr>
      </w:pPr>
    </w:p>
    <w:p w14:paraId="3541453F">
      <w:pPr>
        <w:numPr>
          <w:numId w:val="0"/>
        </w:numPr>
        <w:rPr>
          <w:rFonts w:hint="default"/>
        </w:rPr>
      </w:pPr>
      <w:r>
        <w:rPr>
          <w:rFonts w:hint="default"/>
        </w:rPr>
        <w:t>细胞膜通透性改变</w:t>
      </w:r>
    </w:p>
    <w:p w14:paraId="1B03012A">
      <w:pPr>
        <w:numPr>
          <w:numId w:val="0"/>
        </w:numPr>
        <w:rPr>
          <w:rFonts w:hint="default"/>
        </w:rPr>
      </w:pPr>
    </w:p>
    <w:p w14:paraId="152B5A7E">
      <w:pPr>
        <w:numPr>
          <w:numId w:val="0"/>
        </w:numPr>
        <w:rPr>
          <w:rFonts w:hint="default"/>
        </w:rPr>
      </w:pPr>
      <w:r>
        <w:rPr>
          <w:rFonts w:hint="default"/>
        </w:rPr>
        <w:t>代谢或氧化应激反应增强</w:t>
      </w:r>
    </w:p>
    <w:p w14:paraId="3D0F8762">
      <w:pPr>
        <w:numPr>
          <w:numId w:val="0"/>
        </w:numPr>
        <w:rPr>
          <w:rFonts w:hint="default"/>
        </w:rPr>
      </w:pPr>
    </w:p>
    <w:p w14:paraId="0C6D026F">
      <w:pPr>
        <w:numPr>
          <w:numId w:val="0"/>
        </w:numPr>
        <w:rPr>
          <w:rFonts w:hint="default"/>
        </w:rPr>
      </w:pPr>
      <w:r>
        <w:rPr>
          <w:rFonts w:hint="default"/>
        </w:rPr>
        <w:t>联合用药时的交互耐药性（例如Isoniazid与Rif的共同压力）</w:t>
      </w:r>
    </w:p>
    <w:p w14:paraId="111E8FBB">
      <w:pPr>
        <w:numPr>
          <w:numId w:val="0"/>
        </w:numPr>
        <w:rPr>
          <w:rFonts w:hint="default"/>
        </w:rPr>
      </w:pPr>
    </w:p>
    <w:p w14:paraId="677BC125">
      <w:pPr>
        <w:numPr>
          <w:numId w:val="0"/>
        </w:numPr>
        <w:rPr>
          <w:rFonts w:hint="default"/>
        </w:rPr>
      </w:pPr>
      <w:r>
        <w:rPr>
          <w:rFonts w:hint="default"/>
        </w:rPr>
        <w:t>3.3 耐药突变的可预测性与进化模式</w:t>
      </w:r>
    </w:p>
    <w:p w14:paraId="315E342A">
      <w:pPr>
        <w:numPr>
          <w:numId w:val="0"/>
        </w:numPr>
        <w:rPr>
          <w:rFonts w:hint="default"/>
        </w:rPr>
      </w:pPr>
    </w:p>
    <w:p w14:paraId="2AE5AEB2">
      <w:pPr>
        <w:numPr>
          <w:numId w:val="0"/>
        </w:numPr>
        <w:rPr>
          <w:rFonts w:hint="default"/>
        </w:rPr>
      </w:pPr>
      <w:r>
        <w:rPr>
          <w:rFonts w:hint="default"/>
        </w:rPr>
        <w:t>同源位点的进化趋同（convergent evolution）</w:t>
      </w:r>
    </w:p>
    <w:p w14:paraId="1DEC83C7">
      <w:pPr>
        <w:numPr>
          <w:numId w:val="0"/>
        </w:numPr>
        <w:rPr>
          <w:rFonts w:hint="default"/>
        </w:rPr>
      </w:pPr>
    </w:p>
    <w:p w14:paraId="48456920">
      <w:pPr>
        <w:numPr>
          <w:numId w:val="0"/>
        </w:numPr>
        <w:rPr>
          <w:rFonts w:hint="default"/>
        </w:rPr>
      </w:pPr>
      <w:r>
        <w:rPr>
          <w:rFonts w:hint="default"/>
        </w:rPr>
        <w:t>结构保守区域突变的适应性边界</w:t>
      </w:r>
    </w:p>
    <w:p w14:paraId="62D5CEF1">
      <w:pPr>
        <w:numPr>
          <w:numId w:val="0"/>
        </w:numPr>
        <w:rPr>
          <w:rFonts w:hint="default"/>
        </w:rPr>
      </w:pPr>
    </w:p>
    <w:p w14:paraId="45EF331F">
      <w:pPr>
        <w:numPr>
          <w:numId w:val="0"/>
        </w:numPr>
        <w:rPr>
          <w:rFonts w:hint="default"/>
        </w:rPr>
      </w:pPr>
      <w:r>
        <w:rPr>
          <w:rFonts w:hint="default"/>
        </w:rPr>
        <w:t>不同物种rpoB序列差异下的结构敏感性</w:t>
      </w:r>
    </w:p>
    <w:p w14:paraId="3BF78975">
      <w:pPr>
        <w:numPr>
          <w:numId w:val="0"/>
        </w:numPr>
        <w:rPr>
          <w:rFonts w:hint="default"/>
        </w:rPr>
      </w:pPr>
    </w:p>
    <w:p w14:paraId="5873BD9D">
      <w:pPr>
        <w:numPr>
          <w:numId w:val="0"/>
        </w:numPr>
        <w:rPr>
          <w:rFonts w:hint="default"/>
        </w:rPr>
      </w:pPr>
      <w:r>
        <w:rPr>
          <w:rFonts w:hint="default"/>
        </w:rPr>
        <w:t>4. 已有的利福平耐药性研究进展</w:t>
      </w:r>
    </w:p>
    <w:p w14:paraId="4F7CAE26">
      <w:pPr>
        <w:numPr>
          <w:numId w:val="0"/>
        </w:numPr>
        <w:rPr>
          <w:rFonts w:hint="default"/>
        </w:rPr>
      </w:pPr>
    </w:p>
    <w:p w14:paraId="3B3B700B">
      <w:pPr>
        <w:numPr>
          <w:numId w:val="0"/>
        </w:numPr>
        <w:rPr>
          <w:rFonts w:hint="default"/>
        </w:rPr>
      </w:pPr>
      <w:r>
        <w:rPr>
          <w:rFonts w:hint="default"/>
        </w:rPr>
        <w:t>4.1 临床与实验研究的主要模型物种</w:t>
      </w:r>
    </w:p>
    <w:p w14:paraId="17C5B29E">
      <w:pPr>
        <w:numPr>
          <w:numId w:val="0"/>
        </w:numPr>
        <w:rPr>
          <w:rFonts w:hint="default"/>
        </w:rPr>
      </w:pPr>
    </w:p>
    <w:p w14:paraId="11BD2D7C">
      <w:pPr>
        <w:numPr>
          <w:numId w:val="0"/>
        </w:numPr>
        <w:rPr>
          <w:rFonts w:hint="default"/>
        </w:rPr>
      </w:pPr>
      <w:r>
        <w:rPr>
          <w:rFonts w:hint="default"/>
        </w:rPr>
        <w:t>结核分枝杆菌（Mycobacterium tuberculosis）</w:t>
      </w:r>
    </w:p>
    <w:p w14:paraId="56347D5F">
      <w:pPr>
        <w:numPr>
          <w:numId w:val="0"/>
        </w:numPr>
        <w:rPr>
          <w:rFonts w:hint="default"/>
        </w:rPr>
      </w:pPr>
    </w:p>
    <w:p w14:paraId="00F8A14F">
      <w:pPr>
        <w:numPr>
          <w:numId w:val="0"/>
        </w:numPr>
        <w:rPr>
          <w:rFonts w:hint="default"/>
        </w:rPr>
      </w:pPr>
      <w:r>
        <w:rPr>
          <w:rFonts w:hint="default"/>
        </w:rPr>
        <w:t>麻风分枝杆菌（M. leprae）</w:t>
      </w:r>
    </w:p>
    <w:p w14:paraId="4B0E1F87">
      <w:pPr>
        <w:numPr>
          <w:numId w:val="0"/>
        </w:numPr>
        <w:rPr>
          <w:rFonts w:hint="default"/>
        </w:rPr>
      </w:pPr>
    </w:p>
    <w:p w14:paraId="206B054A">
      <w:pPr>
        <w:numPr>
          <w:numId w:val="0"/>
        </w:numPr>
        <w:rPr>
          <w:rFonts w:hint="default"/>
        </w:rPr>
      </w:pPr>
      <w:r>
        <w:rPr>
          <w:rFonts w:hint="default"/>
        </w:rPr>
        <w:t>大肠杆菌（E. coli）、金黄色葡萄球菌（S. aureus）、铜绿假单胞菌（P. aeruginosa）</w:t>
      </w:r>
    </w:p>
    <w:p w14:paraId="447A2914">
      <w:pPr>
        <w:numPr>
          <w:numId w:val="0"/>
        </w:numPr>
        <w:rPr>
          <w:rFonts w:hint="default"/>
        </w:rPr>
      </w:pPr>
    </w:p>
    <w:p w14:paraId="1E8CC751">
      <w:pPr>
        <w:numPr>
          <w:numId w:val="0"/>
        </w:numPr>
        <w:rPr>
          <w:rFonts w:hint="default"/>
        </w:rPr>
      </w:pPr>
      <w:r>
        <w:rPr>
          <w:rFonts w:hint="default"/>
        </w:rPr>
        <w:t>环境菌与土壤放线菌（例如 Streptomyces）</w:t>
      </w:r>
    </w:p>
    <w:p w14:paraId="74C5D6A1">
      <w:pPr>
        <w:numPr>
          <w:numId w:val="0"/>
        </w:numPr>
        <w:rPr>
          <w:rFonts w:hint="default"/>
        </w:rPr>
      </w:pPr>
    </w:p>
    <w:p w14:paraId="116B5C36">
      <w:pPr>
        <w:numPr>
          <w:numId w:val="0"/>
        </w:numPr>
        <w:rPr>
          <w:rFonts w:hint="default"/>
        </w:rPr>
      </w:pPr>
      <w:r>
        <w:rPr>
          <w:rFonts w:hint="default"/>
        </w:rPr>
        <w:t>4.2 利福平抗药性数据库与突变数据积累</w:t>
      </w:r>
    </w:p>
    <w:p w14:paraId="068566A0">
      <w:pPr>
        <w:numPr>
          <w:numId w:val="0"/>
        </w:numPr>
        <w:rPr>
          <w:rFonts w:hint="default"/>
        </w:rPr>
      </w:pPr>
    </w:p>
    <w:p w14:paraId="4C4BDF8A">
      <w:pPr>
        <w:numPr>
          <w:numId w:val="0"/>
        </w:numPr>
        <w:rPr>
          <w:rFonts w:hint="default"/>
        </w:rPr>
      </w:pPr>
      <w:r>
        <w:rPr>
          <w:rFonts w:hint="default"/>
        </w:rPr>
        <w:t>TB-Profiler、WHO RDB、CARD、ResFinder等数据库</w:t>
      </w:r>
    </w:p>
    <w:p w14:paraId="6C76B1CA">
      <w:pPr>
        <w:numPr>
          <w:numId w:val="0"/>
        </w:numPr>
        <w:rPr>
          <w:rFonts w:hint="default"/>
        </w:rPr>
      </w:pPr>
    </w:p>
    <w:p w14:paraId="3B39F749">
      <w:pPr>
        <w:numPr>
          <w:numId w:val="0"/>
        </w:numPr>
        <w:rPr>
          <w:rFonts w:hint="default"/>
        </w:rPr>
      </w:pPr>
      <w:r>
        <w:rPr>
          <w:rFonts w:hint="default"/>
        </w:rPr>
        <w:t>重点说明这些数据库局限于临床病原体，非模式物种覆盖不足</w:t>
      </w:r>
    </w:p>
    <w:p w14:paraId="1ECF07E5">
      <w:pPr>
        <w:numPr>
          <w:numId w:val="0"/>
        </w:numPr>
        <w:rPr>
          <w:rFonts w:hint="default"/>
        </w:rPr>
      </w:pPr>
    </w:p>
    <w:p w14:paraId="6C8E28BA">
      <w:pPr>
        <w:numPr>
          <w:numId w:val="0"/>
        </w:numPr>
        <w:rPr>
          <w:rFonts w:hint="default"/>
        </w:rPr>
      </w:pPr>
      <w:r>
        <w:rPr>
          <w:rFonts w:hint="default"/>
        </w:rPr>
        <w:t>4.3 跨物种耐药性比较与结构预测研究</w:t>
      </w:r>
    </w:p>
    <w:p w14:paraId="082D6D26">
      <w:pPr>
        <w:numPr>
          <w:numId w:val="0"/>
        </w:numPr>
        <w:rPr>
          <w:rFonts w:hint="default"/>
        </w:rPr>
      </w:pPr>
    </w:p>
    <w:p w14:paraId="33845590">
      <w:pPr>
        <w:numPr>
          <w:numId w:val="0"/>
        </w:numPr>
        <w:rPr>
          <w:rFonts w:hint="default"/>
        </w:rPr>
      </w:pPr>
      <w:r>
        <w:rPr>
          <w:rFonts w:hint="default"/>
        </w:rPr>
        <w:t>比较不同物种rpoB突变的结构效应</w:t>
      </w:r>
    </w:p>
    <w:p w14:paraId="3496AC32">
      <w:pPr>
        <w:numPr>
          <w:numId w:val="0"/>
        </w:numPr>
        <w:rPr>
          <w:rFonts w:hint="default"/>
        </w:rPr>
      </w:pPr>
    </w:p>
    <w:p w14:paraId="5E25C5BB">
      <w:pPr>
        <w:numPr>
          <w:numId w:val="0"/>
        </w:numPr>
        <w:rPr>
          <w:rFonts w:hint="default"/>
        </w:rPr>
      </w:pPr>
      <w:r>
        <w:rPr>
          <w:rFonts w:hint="default"/>
        </w:rPr>
        <w:t>分子动力学模拟（MD）或计算机辅助药物设计（CADD）研究</w:t>
      </w:r>
    </w:p>
    <w:p w14:paraId="7A49D061">
      <w:pPr>
        <w:numPr>
          <w:numId w:val="0"/>
        </w:numPr>
        <w:rPr>
          <w:rFonts w:hint="default"/>
        </w:rPr>
      </w:pPr>
    </w:p>
    <w:p w14:paraId="4C26223A">
      <w:pPr>
        <w:numPr>
          <w:numId w:val="0"/>
        </w:numPr>
        <w:rPr>
          <w:rFonts w:hint="default"/>
        </w:rPr>
      </w:pPr>
      <w:r>
        <w:rPr>
          <w:rFonts w:hint="default"/>
        </w:rPr>
        <w:t>展示耐药性预测在分子演化、生物信息学、药理学上的意义</w:t>
      </w:r>
    </w:p>
    <w:p w14:paraId="65881813">
      <w:pPr>
        <w:numPr>
          <w:numId w:val="0"/>
        </w:numPr>
        <w:rPr>
          <w:rFonts w:hint="default"/>
        </w:rPr>
      </w:pPr>
    </w:p>
    <w:p w14:paraId="0AC82225">
      <w:pPr>
        <w:numPr>
          <w:numId w:val="0"/>
        </w:numPr>
        <w:rPr>
          <w:rFonts w:hint="default"/>
        </w:rPr>
      </w:pPr>
      <w:r>
        <w:rPr>
          <w:rFonts w:hint="default"/>
        </w:rPr>
        <w:t>5. 研究空白与科学问题定位</w:t>
      </w:r>
    </w:p>
    <w:p w14:paraId="41373225">
      <w:pPr>
        <w:numPr>
          <w:numId w:val="0"/>
        </w:numPr>
        <w:rPr>
          <w:rFonts w:hint="default"/>
        </w:rPr>
      </w:pPr>
    </w:p>
    <w:p w14:paraId="40A6F5FD">
      <w:pPr>
        <w:numPr>
          <w:numId w:val="0"/>
        </w:numPr>
        <w:rPr>
          <w:rFonts w:hint="default"/>
        </w:rPr>
      </w:pPr>
      <w:r>
        <w:rPr>
          <w:rFonts w:hint="default"/>
        </w:rPr>
        <w:t>5.1 跨物种耐药预测的必要性</w:t>
      </w:r>
    </w:p>
    <w:p w14:paraId="5A25A224">
      <w:pPr>
        <w:numPr>
          <w:numId w:val="0"/>
        </w:numPr>
        <w:rPr>
          <w:rFonts w:hint="default"/>
        </w:rPr>
      </w:pPr>
    </w:p>
    <w:p w14:paraId="69A9EDB7">
      <w:pPr>
        <w:numPr>
          <w:numId w:val="0"/>
        </w:numPr>
        <w:rPr>
          <w:rFonts w:hint="default"/>
        </w:rPr>
      </w:pPr>
      <w:r>
        <w:rPr>
          <w:rFonts w:hint="default"/>
        </w:rPr>
        <w:t>环境细菌作为耐药基因储库（resistome）的潜在威胁</w:t>
      </w:r>
    </w:p>
    <w:p w14:paraId="4203A7E1">
      <w:pPr>
        <w:numPr>
          <w:numId w:val="0"/>
        </w:numPr>
        <w:rPr>
          <w:rFonts w:hint="default"/>
        </w:rPr>
      </w:pPr>
    </w:p>
    <w:p w14:paraId="55633DCE">
      <w:pPr>
        <w:numPr>
          <w:numId w:val="0"/>
        </w:numPr>
        <w:rPr>
          <w:rFonts w:hint="default"/>
        </w:rPr>
      </w:pPr>
      <w:r>
        <w:rPr>
          <w:rFonts w:hint="default"/>
        </w:rPr>
        <w:t>利福平使用后的环境残留导致选择压力</w:t>
      </w:r>
    </w:p>
    <w:p w14:paraId="6FD9654F">
      <w:pPr>
        <w:numPr>
          <w:numId w:val="0"/>
        </w:numPr>
        <w:rPr>
          <w:rFonts w:hint="default"/>
        </w:rPr>
      </w:pPr>
    </w:p>
    <w:p w14:paraId="365A5A13">
      <w:pPr>
        <w:numPr>
          <w:numId w:val="0"/>
        </w:numPr>
        <w:rPr>
          <w:rFonts w:hint="default"/>
        </w:rPr>
      </w:pPr>
      <w:r>
        <w:rPr>
          <w:rFonts w:hint="default"/>
        </w:rPr>
        <w:t>当前研究集中于少数病原体 → 缺乏对非临床细菌的预测框架</w:t>
      </w:r>
    </w:p>
    <w:p w14:paraId="1753DE34">
      <w:pPr>
        <w:numPr>
          <w:numId w:val="0"/>
        </w:numPr>
        <w:rPr>
          <w:rFonts w:hint="default"/>
        </w:rPr>
      </w:pPr>
    </w:p>
    <w:p w14:paraId="506916F2">
      <w:pPr>
        <w:numPr>
          <w:numId w:val="0"/>
        </w:numPr>
        <w:rPr>
          <w:rFonts w:hint="default"/>
        </w:rPr>
      </w:pPr>
      <w:r>
        <w:rPr>
          <w:rFonts w:hint="default"/>
        </w:rPr>
        <w:t>5.2 利福平抗药性突变的可迁移性问题</w:t>
      </w:r>
    </w:p>
    <w:p w14:paraId="48E57C72">
      <w:pPr>
        <w:numPr>
          <w:numId w:val="0"/>
        </w:numPr>
        <w:rPr>
          <w:rFonts w:hint="default"/>
        </w:rPr>
      </w:pPr>
    </w:p>
    <w:p w14:paraId="41E5536D">
      <w:pPr>
        <w:numPr>
          <w:numId w:val="0"/>
        </w:numPr>
        <w:rPr>
          <w:rFonts w:hint="default"/>
        </w:rPr>
      </w:pPr>
      <w:r>
        <w:rPr>
          <w:rFonts w:hint="default"/>
        </w:rPr>
        <w:t>同源rpoB位点突变在不同物种间是否具有相同效应？</w:t>
      </w:r>
    </w:p>
    <w:p w14:paraId="01D6A49D">
      <w:pPr>
        <w:numPr>
          <w:numId w:val="0"/>
        </w:numPr>
        <w:rPr>
          <w:rFonts w:hint="default"/>
        </w:rPr>
      </w:pPr>
    </w:p>
    <w:p w14:paraId="1C0DCC05">
      <w:pPr>
        <w:numPr>
          <w:numId w:val="0"/>
        </w:numPr>
        <w:rPr>
          <w:rFonts w:hint="default"/>
        </w:rPr>
      </w:pPr>
      <w:r>
        <w:rPr>
          <w:rFonts w:hint="default"/>
        </w:rPr>
        <w:t>结构与序列差异对突变适应性的影响</w:t>
      </w:r>
    </w:p>
    <w:p w14:paraId="65DE587A">
      <w:pPr>
        <w:numPr>
          <w:numId w:val="0"/>
        </w:numPr>
        <w:rPr>
          <w:rFonts w:hint="default"/>
        </w:rPr>
      </w:pPr>
    </w:p>
    <w:p w14:paraId="18964664">
      <w:pPr>
        <w:numPr>
          <w:numId w:val="0"/>
        </w:numPr>
        <w:rPr>
          <w:rFonts w:hint="default"/>
        </w:rPr>
      </w:pPr>
      <w:r>
        <w:rPr>
          <w:rFonts w:hint="default"/>
        </w:rPr>
        <w:t>预测新物种耐药突变的潜在意义：</w:t>
      </w:r>
    </w:p>
    <w:p w14:paraId="61AA6F7B">
      <w:pPr>
        <w:numPr>
          <w:numId w:val="0"/>
        </w:numPr>
        <w:rPr>
          <w:rFonts w:hint="default"/>
        </w:rPr>
      </w:pPr>
    </w:p>
    <w:p w14:paraId="3EC253E6">
      <w:pPr>
        <w:numPr>
          <w:numId w:val="0"/>
        </w:numPr>
        <w:rPr>
          <w:rFonts w:hint="default"/>
        </w:rPr>
      </w:pPr>
      <w:r>
        <w:rPr>
          <w:rFonts w:hint="default"/>
        </w:rPr>
        <w:t>指导未来病原风险评估</w:t>
      </w:r>
    </w:p>
    <w:p w14:paraId="4114B2AC">
      <w:pPr>
        <w:numPr>
          <w:numId w:val="0"/>
        </w:numPr>
        <w:rPr>
          <w:rFonts w:hint="default"/>
        </w:rPr>
      </w:pPr>
    </w:p>
    <w:p w14:paraId="4E94AFCE">
      <w:pPr>
        <w:numPr>
          <w:numId w:val="0"/>
        </w:numPr>
        <w:rPr>
          <w:rFonts w:hint="default"/>
        </w:rPr>
      </w:pPr>
      <w:r>
        <w:rPr>
          <w:rFonts w:hint="default"/>
        </w:rPr>
        <w:t>辅助药物再设计与靶点改进</w:t>
      </w:r>
    </w:p>
    <w:p w14:paraId="13C62B4B">
      <w:pPr>
        <w:numPr>
          <w:numId w:val="0"/>
        </w:numPr>
        <w:rPr>
          <w:rFonts w:hint="default"/>
        </w:rPr>
      </w:pPr>
    </w:p>
    <w:p w14:paraId="064BF246">
      <w:pPr>
        <w:numPr>
          <w:numId w:val="0"/>
        </w:numPr>
        <w:rPr>
          <w:rFonts w:hint="default"/>
        </w:rPr>
      </w:pPr>
      <w:r>
        <w:rPr>
          <w:rFonts w:hint="default"/>
        </w:rPr>
        <w:t>6. 研究目标与本项目定位</w:t>
      </w:r>
    </w:p>
    <w:p w14:paraId="62FA5B75">
      <w:pPr>
        <w:numPr>
          <w:numId w:val="0"/>
        </w:numPr>
        <w:rPr>
          <w:rFonts w:hint="default"/>
        </w:rPr>
      </w:pPr>
    </w:p>
    <w:p w14:paraId="1ECDDCF6">
      <w:pPr>
        <w:numPr>
          <w:numId w:val="0"/>
        </w:numPr>
        <w:rPr>
          <w:rFonts w:hint="default"/>
        </w:rPr>
      </w:pPr>
      <w:r>
        <w:rPr>
          <w:rFonts w:hint="default"/>
        </w:rPr>
        <w:t>6.1 项目总体目标</w:t>
      </w:r>
    </w:p>
    <w:p w14:paraId="43D7B6D3">
      <w:pPr>
        <w:numPr>
          <w:numId w:val="0"/>
        </w:numPr>
        <w:rPr>
          <w:rFonts w:hint="default"/>
        </w:rPr>
      </w:pPr>
    </w:p>
    <w:p w14:paraId="02D9CDBE">
      <w:pPr>
        <w:numPr>
          <w:numId w:val="0"/>
        </w:numPr>
        <w:rPr>
          <w:rFonts w:hint="default"/>
        </w:rPr>
      </w:pPr>
      <w:r>
        <w:rPr>
          <w:rFonts w:hint="default"/>
        </w:rPr>
        <w:t>构建跨物种rpoB序列比较框架</w:t>
      </w:r>
    </w:p>
    <w:p w14:paraId="4C4AEA71">
      <w:pPr>
        <w:numPr>
          <w:numId w:val="0"/>
        </w:numPr>
        <w:rPr>
          <w:rFonts w:hint="default"/>
        </w:rPr>
      </w:pPr>
    </w:p>
    <w:p w14:paraId="0A2D31D6">
      <w:pPr>
        <w:numPr>
          <w:numId w:val="0"/>
        </w:numPr>
        <w:rPr>
          <w:rFonts w:hint="default"/>
        </w:rPr>
      </w:pPr>
      <w:r>
        <w:rPr>
          <w:rFonts w:hint="default"/>
        </w:rPr>
        <w:t>利用机器学习预测不同细菌物种中可能导致利福平抗药的突变位点</w:t>
      </w:r>
    </w:p>
    <w:p w14:paraId="22F1D711">
      <w:pPr>
        <w:numPr>
          <w:numId w:val="0"/>
        </w:numPr>
        <w:rPr>
          <w:rFonts w:hint="default"/>
        </w:rPr>
      </w:pPr>
    </w:p>
    <w:p w14:paraId="139153CD">
      <w:pPr>
        <w:numPr>
          <w:numId w:val="0"/>
        </w:numPr>
        <w:rPr>
          <w:rFonts w:hint="default"/>
        </w:rPr>
      </w:pPr>
      <w:r>
        <w:rPr>
          <w:rFonts w:hint="default"/>
        </w:rPr>
        <w:t>6.2 科学意义与潜在应用</w:t>
      </w:r>
    </w:p>
    <w:p w14:paraId="686A9A8D">
      <w:pPr>
        <w:numPr>
          <w:numId w:val="0"/>
        </w:numPr>
        <w:rPr>
          <w:rFonts w:hint="default"/>
        </w:rPr>
      </w:pPr>
    </w:p>
    <w:p w14:paraId="769D39E0">
      <w:pPr>
        <w:numPr>
          <w:numId w:val="0"/>
        </w:numPr>
        <w:rPr>
          <w:rFonts w:hint="default"/>
        </w:rPr>
      </w:pPr>
      <w:r>
        <w:rPr>
          <w:rFonts w:hint="default"/>
        </w:rPr>
        <w:t>揭示抗药突变的保守与可塑性边界</w:t>
      </w:r>
    </w:p>
    <w:p w14:paraId="16C6F400">
      <w:pPr>
        <w:numPr>
          <w:numId w:val="0"/>
        </w:numPr>
        <w:rPr>
          <w:rFonts w:hint="default"/>
        </w:rPr>
      </w:pPr>
    </w:p>
    <w:p w14:paraId="7487C410">
      <w:pPr>
        <w:numPr>
          <w:numId w:val="0"/>
        </w:numPr>
        <w:rPr>
          <w:rFonts w:hint="default"/>
        </w:rPr>
      </w:pPr>
      <w:r>
        <w:rPr>
          <w:rFonts w:hint="default"/>
        </w:rPr>
        <w:t>为新出现或非模式细菌提供耐药风险预警</w:t>
      </w:r>
    </w:p>
    <w:p w14:paraId="3331AD57">
      <w:pPr>
        <w:numPr>
          <w:numId w:val="0"/>
        </w:numPr>
        <w:rPr>
          <w:rFonts w:hint="default"/>
        </w:rPr>
      </w:pPr>
    </w:p>
    <w:p w14:paraId="28A50352">
      <w:pPr>
        <w:numPr>
          <w:numId w:val="0"/>
        </w:numPr>
      </w:pPr>
      <w:r>
        <w:rPr>
          <w:rFonts w:hint="default"/>
        </w:rPr>
        <w:t>为后续抗生素设计、耐药传播监测提供基础</w:t>
      </w:r>
    </w:p>
    <w:p w14:paraId="24508BCC">
      <w:pPr>
        <w:pStyle w:val="3"/>
        <w:spacing w:after="120" w:line="360" w:lineRule="auto"/>
        <w:rPr>
          <w:rFonts w:ascii="Times New Roman" w:hAnsi="Times New Roman"/>
          <w:sz w:val="24"/>
        </w:rPr>
      </w:pPr>
    </w:p>
    <w:p w14:paraId="0F9F628F">
      <w:pPr>
        <w:pStyle w:val="3"/>
        <w:spacing w:after="120" w:line="360" w:lineRule="auto"/>
        <w:rPr>
          <w:rFonts w:hint="default" w:ascii="Times New Roman" w:hAnsi="Times New Roman" w:eastAsia="SimSun" w:cs="Times New Roman"/>
          <w:color w:val="000000" w:themeColor="text1"/>
          <w:sz w:val="24"/>
          <w:lang w:val="en-US" w:eastAsia="zh-CN"/>
          <w14:textFill>
            <w14:solidFill>
              <w14:schemeClr w14:val="tx1"/>
            </w14:solidFill>
          </w14:textFill>
        </w:rPr>
      </w:pPr>
      <w:r>
        <w:rPr>
          <w:rFonts w:hint="default" w:ascii="Times New Roman" w:hAnsi="Times New Roman" w:eastAsia="SimSun" w:cs="Times New Roman"/>
          <w:color w:val="000000" w:themeColor="text1"/>
          <w:sz w:val="24"/>
          <w:lang w:val="en-US" w:eastAsia="zh-CN"/>
          <w14:textFill>
            <w14:solidFill>
              <w14:schemeClr w14:val="tx1"/>
            </w14:solidFill>
          </w14:textFill>
        </w:rPr>
        <w:t>Although Mycobacterium tuberculosis is the most intensively studied model for rifampicin resistance, rifampicin is exposed to a wide range of bacteria, both in clinical use and through environmental contamination. Therefore, this study aims to predict cross-species mutation patterns, which may provide insights into the evolutionary convergence of antibiotic resistance.</w:t>
      </w:r>
    </w:p>
    <w:p w14:paraId="4238922B">
      <w:pPr>
        <w:rPr>
          <w:rFonts w:hint="default"/>
          <w:lang w:val="en-US" w:eastAsia="zh-CN"/>
        </w:rPr>
      </w:pPr>
      <w:r>
        <w:rPr>
          <w:rFonts w:hint="default"/>
          <w:lang w:eastAsia="zh-CN"/>
        </w:rPr>
        <w:t>As humans truly explore the Earth, they encounter more than just E. coli or M. tb. Therefore, if humans rely on a limited set of RIF drugs to combat a wide variety of bacteria in nature, they are likely to exhibit varying adaptability or resistance. Therefore, this project aims to predict as many potential RIF-resistant mutations as possible in unconventional or less widely studied bacterial species.</w:t>
      </w:r>
    </w:p>
    <w:p w14:paraId="46DBDB5A">
      <w:pPr>
        <w:pStyle w:val="3"/>
        <w:numPr>
          <w:ilvl w:val="0"/>
          <w:numId w:val="8"/>
        </w:numPr>
        <w:spacing w:after="120" w:line="360" w:lineRule="auto"/>
        <w:rPr>
          <w:rFonts w:ascii="Times New Roman" w:hAnsi="Times New Roman"/>
          <w:sz w:val="24"/>
        </w:rPr>
      </w:pPr>
      <w:r>
        <w:rPr>
          <w:rFonts w:ascii="Times New Roman" w:hAnsi="Times New Roman"/>
          <w:sz w:val="24"/>
        </w:rPr>
        <w:t>Materials and Methods</w:t>
      </w:r>
    </w:p>
    <w:p w14:paraId="661B7DA5">
      <w:pPr>
        <w:rPr>
          <w:rFonts w:hint="eastAsia" w:ascii="Times New Roman" w:hAnsi="Times New Roman" w:eastAsia="SimSun"/>
          <w:sz w:val="24"/>
          <w:lang w:val="en-US" w:eastAsia="zh-CN"/>
        </w:rPr>
      </w:pPr>
      <w:r>
        <w:rPr>
          <w:rFonts w:hint="eastAsia" w:ascii="Times New Roman" w:hAnsi="Times New Roman" w:eastAsia="SimSun"/>
          <w:sz w:val="24"/>
          <w:lang w:val="en-US" w:eastAsia="zh-CN"/>
        </w:rPr>
        <w:t>Materials：</w:t>
      </w:r>
    </w:p>
    <w:p w14:paraId="612C25B8">
      <w:pPr>
        <w:numPr>
          <w:ilvl w:val="0"/>
          <w:numId w:val="0"/>
        </w:numPr>
        <w:rPr>
          <w:rFonts w:hint="default" w:eastAsia="SimSun"/>
          <w:lang w:val="en-US" w:eastAsia="zh-CN"/>
        </w:rPr>
      </w:pPr>
      <w:r>
        <w:rPr>
          <w:rFonts w:hint="eastAsia" w:eastAsia="SimSun"/>
          <w:lang w:val="en-US" w:eastAsia="zh-CN"/>
        </w:rPr>
        <w:t>1</w:t>
      </w:r>
    </w:p>
    <w:p w14:paraId="3CF99346">
      <w:pPr>
        <w:numPr>
          <w:ilvl w:val="0"/>
          <w:numId w:val="0"/>
        </w:numPr>
        <w:rPr>
          <w:rFonts w:hint="default" w:eastAsia="SimSun"/>
          <w:lang w:val="en-US" w:eastAsia="zh-CN"/>
        </w:rPr>
      </w:pPr>
      <w:r>
        <w:rPr>
          <w:rFonts w:hint="default" w:eastAsia="SimSun"/>
          <w:lang w:val="en-US" w:eastAsia="zh-CN"/>
        </w:rPr>
        <w:t>你如何系统性地检索文献；</w:t>
      </w:r>
    </w:p>
    <w:p w14:paraId="56009143">
      <w:pPr>
        <w:numPr>
          <w:ilvl w:val="0"/>
          <w:numId w:val="0"/>
        </w:numPr>
        <w:rPr>
          <w:rFonts w:hint="default" w:eastAsia="SimSun"/>
          <w:lang w:val="en-US" w:eastAsia="zh-CN"/>
        </w:rPr>
      </w:pPr>
    </w:p>
    <w:p w14:paraId="0D361F6C">
      <w:pPr>
        <w:numPr>
          <w:ilvl w:val="0"/>
          <w:numId w:val="0"/>
        </w:numPr>
        <w:rPr>
          <w:rFonts w:hint="default" w:eastAsia="SimSun"/>
          <w:lang w:val="en-US" w:eastAsia="zh-CN"/>
        </w:rPr>
      </w:pPr>
      <w:r>
        <w:rPr>
          <w:rFonts w:hint="default" w:eastAsia="SimSun"/>
          <w:lang w:val="en-US" w:eastAsia="zh-CN"/>
        </w:rPr>
        <w:t>使用了哪款软件（ASReview）、版本号、核心功能；</w:t>
      </w:r>
    </w:p>
    <w:p w14:paraId="2B5A5730">
      <w:pPr>
        <w:numPr>
          <w:ilvl w:val="0"/>
          <w:numId w:val="0"/>
        </w:numPr>
        <w:rPr>
          <w:rFonts w:hint="default" w:eastAsia="SimSun"/>
          <w:lang w:val="en-US" w:eastAsia="zh-CN"/>
        </w:rPr>
      </w:pPr>
    </w:p>
    <w:p w14:paraId="50834EF8">
      <w:pPr>
        <w:numPr>
          <w:ilvl w:val="0"/>
          <w:numId w:val="0"/>
        </w:numPr>
        <w:rPr>
          <w:rFonts w:hint="default" w:eastAsia="SimSun"/>
          <w:lang w:val="en-US" w:eastAsia="zh-CN"/>
        </w:rPr>
      </w:pPr>
      <w:r>
        <w:rPr>
          <w:rFonts w:hint="default" w:eastAsia="SimSun"/>
          <w:lang w:val="en-US" w:eastAsia="zh-CN"/>
        </w:rPr>
        <w:t>使用了哪些关键词；</w:t>
      </w:r>
    </w:p>
    <w:p w14:paraId="07B2D346">
      <w:pPr>
        <w:numPr>
          <w:ilvl w:val="0"/>
          <w:numId w:val="0"/>
        </w:numPr>
        <w:rPr>
          <w:rFonts w:hint="default" w:eastAsia="SimSun"/>
          <w:lang w:val="en-US" w:eastAsia="zh-CN"/>
        </w:rPr>
      </w:pPr>
    </w:p>
    <w:p w14:paraId="489A80FE">
      <w:pPr>
        <w:numPr>
          <w:ilvl w:val="0"/>
          <w:numId w:val="0"/>
        </w:numPr>
        <w:rPr>
          <w:rFonts w:hint="default" w:eastAsia="SimSun"/>
          <w:lang w:val="en-US" w:eastAsia="zh-CN"/>
        </w:rPr>
      </w:pPr>
      <w:r>
        <w:rPr>
          <w:rFonts w:hint="default" w:eastAsia="SimSun"/>
          <w:lang w:val="en-US" w:eastAsia="zh-CN"/>
        </w:rPr>
        <w:t>主动学习的流程（机器模型与人工复核如何结合）；</w:t>
      </w:r>
    </w:p>
    <w:p w14:paraId="56B57AF2">
      <w:pPr>
        <w:numPr>
          <w:ilvl w:val="0"/>
          <w:numId w:val="0"/>
        </w:numPr>
        <w:rPr>
          <w:rFonts w:hint="default" w:eastAsia="SimSun"/>
          <w:lang w:val="en-US" w:eastAsia="zh-CN"/>
        </w:rPr>
      </w:pPr>
    </w:p>
    <w:p w14:paraId="06685ECF">
      <w:pPr>
        <w:numPr>
          <w:ilvl w:val="0"/>
          <w:numId w:val="0"/>
        </w:numPr>
        <w:rPr>
          <w:rFonts w:hint="default" w:eastAsia="SimSun"/>
          <w:lang w:val="en-US" w:eastAsia="zh-CN"/>
        </w:rPr>
      </w:pPr>
      <w:r>
        <w:rPr>
          <w:rFonts w:hint="default" w:eastAsia="SimSun"/>
          <w:lang w:val="en-US" w:eastAsia="zh-CN"/>
        </w:rPr>
        <w:t>输出结果数量。</w:t>
      </w:r>
    </w:p>
    <w:p w14:paraId="13366E7E">
      <w:pPr>
        <w:numPr>
          <w:ilvl w:val="0"/>
          <w:numId w:val="0"/>
        </w:numPr>
        <w:rPr>
          <w:rFonts w:hint="default" w:eastAsia="SimSun"/>
          <w:lang w:val="en-US" w:eastAsia="zh-CN"/>
        </w:rPr>
      </w:pPr>
    </w:p>
    <w:p w14:paraId="4C1E3D1D">
      <w:pPr>
        <w:numPr>
          <w:ilvl w:val="0"/>
          <w:numId w:val="0"/>
        </w:numPr>
        <w:rPr>
          <w:rFonts w:hint="default" w:eastAsia="SimSun"/>
          <w:lang w:val="en-US" w:eastAsia="zh-CN"/>
        </w:rPr>
      </w:pPr>
      <w:r>
        <w:rPr>
          <w:rFonts w:hint="eastAsia" w:eastAsia="SimSun"/>
          <w:lang w:val="en-US" w:eastAsia="zh-CN"/>
        </w:rPr>
        <w:t>2</w:t>
      </w:r>
    </w:p>
    <w:p w14:paraId="218CAE7B">
      <w:pPr>
        <w:numPr>
          <w:ilvl w:val="0"/>
          <w:numId w:val="0"/>
        </w:numPr>
        <w:rPr>
          <w:rFonts w:hint="default" w:eastAsia="SimSun"/>
          <w:lang w:val="en-US" w:eastAsia="zh-CN"/>
        </w:rPr>
      </w:pPr>
      <w:r>
        <w:rPr>
          <w:rFonts w:hint="default" w:eastAsia="SimSun"/>
          <w:lang w:val="en-US" w:eastAsia="zh-CN"/>
        </w:rPr>
        <w:t>你具体使用了哪些语言模型（Sentence-BERT、SciBERT）；</w:t>
      </w:r>
    </w:p>
    <w:p w14:paraId="6BF7E066">
      <w:pPr>
        <w:numPr>
          <w:ilvl w:val="0"/>
          <w:numId w:val="0"/>
        </w:numPr>
        <w:rPr>
          <w:rFonts w:hint="default" w:eastAsia="SimSun"/>
          <w:lang w:val="en-US" w:eastAsia="zh-CN"/>
        </w:rPr>
      </w:pPr>
    </w:p>
    <w:p w14:paraId="1F69F2B8">
      <w:pPr>
        <w:numPr>
          <w:ilvl w:val="0"/>
          <w:numId w:val="0"/>
        </w:numPr>
        <w:rPr>
          <w:rFonts w:hint="default" w:eastAsia="SimSun"/>
          <w:lang w:val="en-US" w:eastAsia="zh-CN"/>
        </w:rPr>
      </w:pPr>
      <w:r>
        <w:rPr>
          <w:rFonts w:hint="default" w:eastAsia="SimSun"/>
          <w:lang w:val="en-US" w:eastAsia="zh-CN"/>
        </w:rPr>
        <w:t>微调方式（HuggingFace Transformers，PyTorch 环境）；</w:t>
      </w:r>
    </w:p>
    <w:p w14:paraId="4F3CE4E4">
      <w:pPr>
        <w:numPr>
          <w:ilvl w:val="0"/>
          <w:numId w:val="0"/>
        </w:numPr>
        <w:rPr>
          <w:rFonts w:hint="default" w:eastAsia="SimSun"/>
          <w:lang w:val="en-US" w:eastAsia="zh-CN"/>
        </w:rPr>
      </w:pPr>
    </w:p>
    <w:p w14:paraId="34DE463A">
      <w:pPr>
        <w:numPr>
          <w:ilvl w:val="0"/>
          <w:numId w:val="0"/>
        </w:numPr>
        <w:rPr>
          <w:rFonts w:hint="default" w:eastAsia="SimSun"/>
          <w:lang w:val="en-US" w:eastAsia="zh-CN"/>
        </w:rPr>
      </w:pPr>
      <w:r>
        <w:rPr>
          <w:rFonts w:hint="default" w:eastAsia="SimSun"/>
          <w:lang w:val="en-US" w:eastAsia="zh-CN"/>
        </w:rPr>
        <w:t>性能评估方法（5-fold CV + Precision/Recall/F1）；</w:t>
      </w:r>
    </w:p>
    <w:p w14:paraId="55CF9B05">
      <w:pPr>
        <w:numPr>
          <w:ilvl w:val="0"/>
          <w:numId w:val="0"/>
        </w:numPr>
        <w:rPr>
          <w:rFonts w:hint="default" w:eastAsia="SimSun"/>
          <w:lang w:val="en-US" w:eastAsia="zh-CN"/>
        </w:rPr>
      </w:pPr>
    </w:p>
    <w:p w14:paraId="3D3C746C">
      <w:pPr>
        <w:numPr>
          <w:ilvl w:val="0"/>
          <w:numId w:val="0"/>
        </w:numPr>
        <w:rPr>
          <w:rFonts w:hint="default" w:eastAsia="SimSun"/>
          <w:lang w:val="en-US" w:eastAsia="zh-CN"/>
        </w:rPr>
      </w:pPr>
      <w:r>
        <w:rPr>
          <w:rFonts w:hint="default" w:eastAsia="SimSun"/>
          <w:lang w:val="en-US" w:eastAsia="zh-CN"/>
        </w:rPr>
        <w:t>软件库。</w:t>
      </w:r>
    </w:p>
    <w:p w14:paraId="38DE1D3E">
      <w:pPr>
        <w:numPr>
          <w:ilvl w:val="0"/>
          <w:numId w:val="0"/>
        </w:numPr>
        <w:rPr>
          <w:rFonts w:hint="default" w:eastAsia="SimSun"/>
          <w:lang w:val="en-US" w:eastAsia="zh-CN"/>
        </w:rPr>
      </w:pPr>
    </w:p>
    <w:p w14:paraId="606EE717">
      <w:pPr>
        <w:numPr>
          <w:ilvl w:val="0"/>
          <w:numId w:val="0"/>
        </w:numPr>
        <w:rPr>
          <w:rFonts w:hint="default" w:eastAsia="SimSun"/>
          <w:lang w:val="en-US" w:eastAsia="zh-CN"/>
        </w:rPr>
      </w:pPr>
      <w:r>
        <w:rPr>
          <w:rFonts w:hint="eastAsia" w:eastAsia="SimSun"/>
          <w:lang w:val="en-US" w:eastAsia="zh-CN"/>
        </w:rPr>
        <w:t>3</w:t>
      </w:r>
    </w:p>
    <w:p w14:paraId="0E57C0E8">
      <w:pPr>
        <w:numPr>
          <w:ilvl w:val="0"/>
          <w:numId w:val="0"/>
        </w:numPr>
        <w:rPr>
          <w:rFonts w:hint="default" w:eastAsia="SimSun"/>
          <w:lang w:val="en-US" w:eastAsia="zh-CN"/>
        </w:rPr>
      </w:pPr>
      <w:r>
        <w:rPr>
          <w:rFonts w:hint="default" w:eastAsia="SimSun"/>
          <w:lang w:val="en-US" w:eastAsia="zh-CN"/>
        </w:rPr>
        <w:t>数据整合步骤（DOI 匹配、去重、跨物种突变映射）；</w:t>
      </w:r>
    </w:p>
    <w:p w14:paraId="0AF1DE45">
      <w:pPr>
        <w:numPr>
          <w:ilvl w:val="0"/>
          <w:numId w:val="0"/>
        </w:numPr>
        <w:rPr>
          <w:rFonts w:hint="default" w:eastAsia="SimSun"/>
          <w:lang w:val="en-US" w:eastAsia="zh-CN"/>
        </w:rPr>
      </w:pPr>
    </w:p>
    <w:p w14:paraId="2670339B">
      <w:pPr>
        <w:numPr>
          <w:ilvl w:val="0"/>
          <w:numId w:val="0"/>
        </w:numPr>
        <w:rPr>
          <w:rFonts w:hint="default" w:eastAsia="SimSun"/>
          <w:lang w:val="en-US" w:eastAsia="zh-CN"/>
        </w:rPr>
      </w:pPr>
      <w:r>
        <w:rPr>
          <w:rFonts w:hint="default" w:eastAsia="SimSun"/>
          <w:lang w:val="en-US" w:eastAsia="zh-CN"/>
        </w:rPr>
        <w:t>提及使用的辅助工具（Excel、Python、Biopython、Clustal Omega 等）；</w:t>
      </w:r>
    </w:p>
    <w:p w14:paraId="5F3EBDF7">
      <w:pPr>
        <w:numPr>
          <w:ilvl w:val="0"/>
          <w:numId w:val="0"/>
        </w:numPr>
        <w:rPr>
          <w:rFonts w:hint="default" w:eastAsia="SimSun"/>
          <w:lang w:val="en-US" w:eastAsia="zh-CN"/>
        </w:rPr>
      </w:pPr>
    </w:p>
    <w:p w14:paraId="255F7EE7">
      <w:pPr>
        <w:numPr>
          <w:ilvl w:val="0"/>
          <w:numId w:val="0"/>
        </w:numPr>
        <w:rPr>
          <w:rFonts w:hint="default" w:eastAsia="SimSun"/>
          <w:lang w:val="en-US" w:eastAsia="zh-CN"/>
        </w:rPr>
      </w:pPr>
      <w:r>
        <w:rPr>
          <w:rFonts w:hint="default" w:eastAsia="SimSun"/>
          <w:lang w:val="en-US" w:eastAsia="zh-CN"/>
        </w:rPr>
        <w:t>输出文件（newrifmutdata.xlsx）。</w:t>
      </w:r>
    </w:p>
    <w:p w14:paraId="7165D43F">
      <w:pPr>
        <w:numPr>
          <w:ilvl w:val="0"/>
          <w:numId w:val="0"/>
        </w:numPr>
        <w:rPr>
          <w:rFonts w:hint="default" w:eastAsia="SimSun"/>
          <w:lang w:val="en-US" w:eastAsia="zh-CN"/>
        </w:rPr>
      </w:pPr>
      <w:r>
        <w:rPr>
          <w:rFonts w:hint="eastAsia" w:eastAsia="SimSun"/>
          <w:lang w:val="en-US" w:eastAsia="zh-CN"/>
        </w:rPr>
        <w:t>4</w:t>
      </w:r>
    </w:p>
    <w:p w14:paraId="377439C7">
      <w:pPr>
        <w:numPr>
          <w:ilvl w:val="0"/>
          <w:numId w:val="0"/>
        </w:numPr>
        <w:rPr>
          <w:rFonts w:hint="default" w:eastAsia="SimSun"/>
          <w:lang w:val="en-US" w:eastAsia="zh-CN"/>
        </w:rPr>
      </w:pPr>
      <w:r>
        <w:rPr>
          <w:rFonts w:hint="default" w:eastAsia="SimSun"/>
          <w:lang w:val="en-US" w:eastAsia="zh-CN"/>
        </w:rPr>
        <w:t>输入数据矩阵（X_dense_high / X_dense_midhigh）；</w:t>
      </w:r>
    </w:p>
    <w:p w14:paraId="327FB199">
      <w:pPr>
        <w:numPr>
          <w:ilvl w:val="0"/>
          <w:numId w:val="0"/>
        </w:numPr>
        <w:rPr>
          <w:rFonts w:hint="default" w:eastAsia="SimSun"/>
          <w:lang w:val="en-US" w:eastAsia="zh-CN"/>
        </w:rPr>
      </w:pPr>
    </w:p>
    <w:p w14:paraId="1FB3B4C4">
      <w:pPr>
        <w:numPr>
          <w:ilvl w:val="0"/>
          <w:numId w:val="0"/>
        </w:numPr>
        <w:rPr>
          <w:rFonts w:hint="default" w:eastAsia="SimSun"/>
          <w:lang w:val="en-US" w:eastAsia="zh-CN"/>
        </w:rPr>
      </w:pPr>
      <w:r>
        <w:rPr>
          <w:rFonts w:hint="default" w:eastAsia="SimSun"/>
          <w:lang w:val="en-US" w:eastAsia="zh-CN"/>
        </w:rPr>
        <w:t>使用的降维算法与聚类算法；</w:t>
      </w:r>
    </w:p>
    <w:p w14:paraId="15F272C2">
      <w:pPr>
        <w:numPr>
          <w:ilvl w:val="0"/>
          <w:numId w:val="0"/>
        </w:numPr>
        <w:rPr>
          <w:rFonts w:hint="default" w:eastAsia="SimSun"/>
          <w:lang w:val="en-US" w:eastAsia="zh-CN"/>
        </w:rPr>
      </w:pPr>
    </w:p>
    <w:p w14:paraId="2F4C059F">
      <w:pPr>
        <w:numPr>
          <w:ilvl w:val="0"/>
          <w:numId w:val="0"/>
        </w:numPr>
        <w:rPr>
          <w:rFonts w:hint="default" w:eastAsia="SimSun"/>
          <w:lang w:val="en-US" w:eastAsia="zh-CN"/>
        </w:rPr>
      </w:pPr>
      <w:r>
        <w:rPr>
          <w:rFonts w:hint="default" w:eastAsia="SimSun"/>
          <w:lang w:val="en-US" w:eastAsia="zh-CN"/>
        </w:rPr>
        <w:t>软件与库；</w:t>
      </w:r>
    </w:p>
    <w:p w14:paraId="2F6BA731">
      <w:pPr>
        <w:numPr>
          <w:ilvl w:val="0"/>
          <w:numId w:val="0"/>
        </w:numPr>
        <w:rPr>
          <w:rFonts w:hint="default" w:eastAsia="SimSun"/>
          <w:lang w:val="en-US" w:eastAsia="zh-CN"/>
        </w:rPr>
      </w:pPr>
    </w:p>
    <w:p w14:paraId="7C873A9F">
      <w:pPr>
        <w:numPr>
          <w:ilvl w:val="0"/>
          <w:numId w:val="0"/>
        </w:numPr>
        <w:rPr>
          <w:rFonts w:hint="default" w:eastAsia="SimSun"/>
          <w:lang w:val="en-US" w:eastAsia="zh-CN"/>
        </w:rPr>
      </w:pPr>
      <w:r>
        <w:rPr>
          <w:rFonts w:hint="default" w:eastAsia="SimSun"/>
          <w:lang w:val="en-US" w:eastAsia="zh-CN"/>
        </w:rPr>
        <w:t>筛选 top methods 的依据（平均轮廓系数）。</w:t>
      </w:r>
    </w:p>
    <w:p w14:paraId="3FBF2A63">
      <w:pPr>
        <w:numPr>
          <w:ilvl w:val="0"/>
          <w:numId w:val="0"/>
        </w:numPr>
        <w:rPr>
          <w:rFonts w:hint="eastAsia" w:eastAsia="SimSun"/>
          <w:lang w:val="en-US" w:eastAsia="zh-CN"/>
        </w:rPr>
      </w:pPr>
      <w:r>
        <w:rPr>
          <w:rFonts w:hint="eastAsia" w:eastAsia="SimSun"/>
          <w:lang w:val="en-US" w:eastAsia="zh-CN"/>
        </w:rPr>
        <w:t>5</w:t>
      </w:r>
    </w:p>
    <w:p w14:paraId="41605FC1">
      <w:pPr>
        <w:numPr>
          <w:ilvl w:val="0"/>
          <w:numId w:val="0"/>
        </w:numPr>
        <w:rPr>
          <w:rFonts w:hint="default" w:eastAsia="SimSun"/>
          <w:lang w:val="en-US" w:eastAsia="zh-CN"/>
        </w:rPr>
      </w:pPr>
      <w:r>
        <w:rPr>
          <w:rFonts w:hint="default" w:eastAsia="SimSun"/>
          <w:lang w:val="en-US" w:eastAsia="zh-CN"/>
        </w:rPr>
        <w:t>说明：</w:t>
      </w:r>
    </w:p>
    <w:p w14:paraId="109138DC">
      <w:pPr>
        <w:numPr>
          <w:ilvl w:val="0"/>
          <w:numId w:val="0"/>
        </w:numPr>
        <w:rPr>
          <w:rFonts w:hint="default" w:eastAsia="SimSun"/>
          <w:lang w:val="en-US" w:eastAsia="zh-CN"/>
        </w:rPr>
      </w:pPr>
    </w:p>
    <w:p w14:paraId="3A8D1EE2">
      <w:pPr>
        <w:numPr>
          <w:ilvl w:val="0"/>
          <w:numId w:val="0"/>
        </w:numPr>
        <w:rPr>
          <w:rFonts w:hint="default" w:eastAsia="SimSun"/>
          <w:lang w:val="en-US" w:eastAsia="zh-CN"/>
        </w:rPr>
      </w:pPr>
      <w:r>
        <w:rPr>
          <w:rFonts w:hint="default" w:eastAsia="SimSun"/>
          <w:lang w:val="en-US" w:eastAsia="zh-CN"/>
        </w:rPr>
        <w:t>目的（验证模型能否学习已知突变规律）；</w:t>
      </w:r>
    </w:p>
    <w:p w14:paraId="5915222E">
      <w:pPr>
        <w:numPr>
          <w:ilvl w:val="0"/>
          <w:numId w:val="0"/>
        </w:numPr>
        <w:rPr>
          <w:rFonts w:hint="default" w:eastAsia="SimSun"/>
          <w:lang w:val="en-US" w:eastAsia="zh-CN"/>
        </w:rPr>
      </w:pPr>
    </w:p>
    <w:p w14:paraId="01913CBD">
      <w:pPr>
        <w:numPr>
          <w:ilvl w:val="0"/>
          <w:numId w:val="0"/>
        </w:numPr>
        <w:rPr>
          <w:rFonts w:hint="default" w:eastAsia="SimSun"/>
          <w:lang w:val="en-US" w:eastAsia="zh-CN"/>
        </w:rPr>
      </w:pPr>
      <w:r>
        <w:rPr>
          <w:rFonts w:hint="default" w:eastAsia="SimSun"/>
          <w:lang w:val="en-US" w:eastAsia="zh-CN"/>
        </w:rPr>
        <w:t>方法（PU-learning, Random Forest）；</w:t>
      </w:r>
    </w:p>
    <w:p w14:paraId="47A62A71">
      <w:pPr>
        <w:numPr>
          <w:ilvl w:val="0"/>
          <w:numId w:val="0"/>
        </w:numPr>
        <w:rPr>
          <w:rFonts w:hint="default" w:eastAsia="SimSun"/>
          <w:lang w:val="en-US" w:eastAsia="zh-CN"/>
        </w:rPr>
      </w:pPr>
    </w:p>
    <w:p w14:paraId="12A4372B">
      <w:pPr>
        <w:numPr>
          <w:ilvl w:val="0"/>
          <w:numId w:val="0"/>
        </w:numPr>
        <w:rPr>
          <w:rFonts w:hint="default" w:eastAsia="SimSun"/>
          <w:lang w:val="en-US" w:eastAsia="zh-CN"/>
        </w:rPr>
      </w:pPr>
      <w:r>
        <w:rPr>
          <w:rFonts w:hint="default" w:eastAsia="SimSun"/>
          <w:lang w:val="en-US" w:eastAsia="zh-CN"/>
        </w:rPr>
        <w:t>软件与实现（Scikit-learn）；</w:t>
      </w:r>
    </w:p>
    <w:p w14:paraId="79822F8F">
      <w:pPr>
        <w:numPr>
          <w:ilvl w:val="0"/>
          <w:numId w:val="0"/>
        </w:numPr>
        <w:rPr>
          <w:rFonts w:hint="default" w:eastAsia="SimSun"/>
          <w:lang w:val="en-US" w:eastAsia="zh-CN"/>
        </w:rPr>
      </w:pPr>
    </w:p>
    <w:p w14:paraId="3936BA15">
      <w:pPr>
        <w:numPr>
          <w:ilvl w:val="0"/>
          <w:numId w:val="0"/>
        </w:numPr>
        <w:rPr>
          <w:rFonts w:hint="default" w:eastAsia="SimSun"/>
          <w:lang w:val="en-US" w:eastAsia="zh-CN"/>
        </w:rPr>
      </w:pPr>
      <w:r>
        <w:rPr>
          <w:rFonts w:hint="default" w:eastAsia="SimSun"/>
          <w:lang w:val="en-US" w:eastAsia="zh-CN"/>
        </w:rPr>
        <w:t>评估策略（Mask–then–Recover + Recall@K）。</w:t>
      </w:r>
    </w:p>
    <w:p w14:paraId="5A39724E">
      <w:pPr>
        <w:numPr>
          <w:ilvl w:val="0"/>
          <w:numId w:val="0"/>
        </w:numPr>
        <w:rPr>
          <w:rFonts w:hint="default" w:eastAsia="SimSun"/>
          <w:lang w:val="en-US" w:eastAsia="zh-CN"/>
        </w:rPr>
      </w:pPr>
    </w:p>
    <w:p w14:paraId="4557345F">
      <w:pPr>
        <w:rPr>
          <w:rFonts w:hint="eastAsia" w:ascii="Times New Roman" w:hAnsi="Times New Roman" w:eastAsia="SimSun"/>
          <w:sz w:val="24"/>
          <w:lang w:val="en-US" w:eastAsia="zh-CN"/>
        </w:rPr>
      </w:pPr>
    </w:p>
    <w:p w14:paraId="2CA7581D">
      <w:pPr>
        <w:rPr>
          <w:rFonts w:hint="eastAsia" w:ascii="Times New Roman" w:hAnsi="Times New Roman" w:eastAsia="SimSun"/>
          <w:sz w:val="24"/>
          <w:lang w:val="en-US" w:eastAsia="zh-CN"/>
        </w:rPr>
      </w:pPr>
    </w:p>
    <w:p w14:paraId="28D054AF">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Methods:</w:t>
      </w:r>
    </w:p>
    <w:p w14:paraId="7B35C63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 Methods</w:t>
      </w:r>
    </w:p>
    <w:p w14:paraId="736C94A3">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2.1 Data Sources and Literature Screening</w:t>
      </w:r>
    </w:p>
    <w:p w14:paraId="03D2E66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2.1.1 Literature Search and Active Learning (ASReview)</w:t>
      </w:r>
    </w:p>
    <w:p w14:paraId="449FFCCF">
      <w:pPr>
        <w:numPr>
          <w:ilvl w:val="0"/>
          <w:numId w:val="0"/>
        </w:numPr>
        <w:rPr>
          <w:rFonts w:hint="eastAsia" w:ascii="Times New Roman" w:hAnsi="Times New Roman" w:eastAsia="SimSun"/>
          <w:sz w:val="24"/>
          <w:lang w:val="en-US" w:eastAsia="zh-CN"/>
        </w:rPr>
      </w:pPr>
    </w:p>
    <w:p w14:paraId="394A3525">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To systematically collect literature reporting on rifampicin (RIF) resistance mutations, this study first tested multiple keyword combinations on the Web of Science website, including "RIF," "resistance," and "mutant screen," to search for as many articles as possible containing experimentally generated RIF resistance mutation data.</w:t>
      </w:r>
    </w:p>
    <w:p w14:paraId="475730A2">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The search query was: ((rifampicin OR rifampin) AND (resistance OR resistant) AND (mutation OR polymorphism OR variant)).</w:t>
      </w:r>
    </w:p>
    <w:p w14:paraId="2DBDD94E">
      <w:pPr>
        <w:numPr>
          <w:ilvl w:val="0"/>
          <w:numId w:val="0"/>
        </w:numPr>
        <w:rPr>
          <w:rFonts w:hint="eastAsia" w:ascii="Times New Roman" w:hAnsi="Times New Roman" w:eastAsia="SimSun"/>
          <w:sz w:val="24"/>
          <w:lang w:val="en-US" w:eastAsia="zh-CN"/>
        </w:rPr>
      </w:pPr>
    </w:p>
    <w:p w14:paraId="0763C6EB">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Then, at the recommendation of my supervisor, I used the open-source active learning platform ASReview (version 1.3.1) for semi-automated screening.</w:t>
      </w:r>
    </w:p>
    <w:p w14:paraId="506A59FF">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After initially importing the literature, ASReview continuously updated the ranking using an active learning algorithm to maximize the model's efficiency in identifying relevant literature. The researchers manually annotated the first 109 articles in the system, obtaining 46 relevant samples as the initial training set. This was then combined with three rounds of model disagreement sampling, ultimately yielding a total of 335 labeled articles.</w:t>
      </w:r>
    </w:p>
    <w:p w14:paraId="54CA2C37">
      <w:pPr>
        <w:numPr>
          <w:ilvl w:val="0"/>
          <w:numId w:val="0"/>
        </w:numPr>
        <w:rPr>
          <w:rFonts w:hint="eastAsia" w:ascii="Times New Roman" w:hAnsi="Times New Roman" w:eastAsia="SimSun"/>
          <w:sz w:val="24"/>
          <w:lang w:val="en-US" w:eastAsia="zh-CN"/>
        </w:rPr>
      </w:pPr>
    </w:p>
    <w:p w14:paraId="74F1F05C">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2.2 Language Model Fine-tuning and Document Classification</w:t>
      </w:r>
    </w:p>
    <w:p w14:paraId="59E4512F">
      <w:pPr>
        <w:numPr>
          <w:ilvl w:val="0"/>
          <w:numId w:val="0"/>
        </w:numPr>
        <w:rPr>
          <w:rFonts w:hint="eastAsia" w:ascii="Times New Roman" w:hAnsi="Times New Roman" w:eastAsia="SimSun"/>
          <w:sz w:val="24"/>
          <w:lang w:val="en-US" w:eastAsia="zh-CN"/>
        </w:rPr>
      </w:pPr>
    </w:p>
    <w:p w14:paraId="348BD887">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To further automatically identify articles with potential drug-resistant mutations, two models based on deep language representation were used: Sentence-BERT (all-MiniLM-L6-v2) and SciBERT (allenai/scibert_scivocab_uncased).</w:t>
      </w:r>
    </w:p>
    <w:p w14:paraId="1C5DDB5C">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Model fine-tuning was performed in Python 3.10, relying on HuggingFace Transformers (v4.30) and PyTorch (v2.0).</w:t>
      </w:r>
    </w:p>
    <w:p w14:paraId="4906F8D1">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Stratified 5-fold cross-validation was performed on each model on the 334 annotated samples, and the average precision, recall, and F1 score were calculated. The SciBERT model performed best (Precision = 0.41 ± 0.07, Recall = 0.83 ± 0.07, F1 = 0.54 ± 0.04) and was therefore used to predict the remaining unannotated articles.</w:t>
      </w:r>
    </w:p>
    <w:p w14:paraId="5F1AD993">
      <w:pPr>
        <w:numPr>
          <w:ilvl w:val="0"/>
          <w:numId w:val="0"/>
        </w:numPr>
        <w:rPr>
          <w:rFonts w:hint="eastAsia" w:ascii="Times New Roman" w:hAnsi="Times New Roman" w:eastAsia="SimSun"/>
          <w:sz w:val="24"/>
          <w:lang w:val="en-US" w:eastAsia="zh-CN"/>
        </w:rPr>
      </w:pPr>
    </w:p>
    <w:p w14:paraId="40EF3295">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2.3 Integration and Standardization of New Mutation Data</w:t>
      </w:r>
    </w:p>
    <w:p w14:paraId="4C174996">
      <w:pPr>
        <w:numPr>
          <w:ilvl w:val="0"/>
          <w:numId w:val="0"/>
        </w:numPr>
        <w:rPr>
          <w:rFonts w:hint="eastAsia" w:ascii="Times New Roman" w:hAnsi="Times New Roman" w:eastAsia="SimSun"/>
          <w:sz w:val="24"/>
          <w:lang w:val="en-US" w:eastAsia="zh-CN"/>
        </w:rPr>
      </w:pPr>
    </w:p>
    <w:p w14:paraId="7F37D9A8">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After comparing the candidate articles predicted by the model with the existing mutation database, a total of 37 duplicate articles, 170 newly added articles, and 11 articles without DOI records were identified.</w:t>
      </w:r>
    </w:p>
    <w:p w14:paraId="33E204BF">
      <w:pPr>
        <w:numPr>
          <w:ilvl w:val="0"/>
          <w:numId w:val="0"/>
        </w:numPr>
        <w:rPr>
          <w:rFonts w:hint="eastAsia" w:ascii="Times New Roman" w:hAnsi="Times New Roman" w:eastAsia="SimSun"/>
          <w:sz w:val="24"/>
          <w:lang w:val="en-US" w:eastAsia="zh-CN"/>
        </w:rPr>
      </w:pPr>
    </w:p>
    <w:p w14:paraId="4272E7A3">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For newly added articles, the mutation site, amino acid substitution pattern, and species of origin were extracted.</w:t>
      </w:r>
    </w:p>
    <w:p w14:paraId="59F4A22D">
      <w:pPr>
        <w:numPr>
          <w:ilvl w:val="0"/>
          <w:numId w:val="0"/>
        </w:numPr>
        <w:rPr>
          <w:rFonts w:hint="eastAsia" w:ascii="Times New Roman" w:hAnsi="Times New Roman" w:eastAsia="SimSun"/>
          <w:sz w:val="24"/>
          <w:lang w:val="en-US" w:eastAsia="zh-CN"/>
        </w:rPr>
      </w:pPr>
    </w:p>
    <w:p w14:paraId="36C8FA5A">
      <w:pPr>
        <w:numPr>
          <w:ilvl w:val="0"/>
          <w:numId w:val="0"/>
        </w:numPr>
        <w:rPr>
          <w:rFonts w:hint="eastAsia" w:ascii="Times New Roman" w:hAnsi="Times New Roman" w:eastAsia="SimSun"/>
          <w:sz w:val="24"/>
          <w:lang w:val="en-US" w:eastAsia="zh-CN"/>
        </w:rPr>
      </w:pPr>
      <w:r>
        <w:rPr>
          <w:rFonts w:hint="eastAsia" w:ascii="Times New Roman" w:hAnsi="Times New Roman" w:eastAsia="SimSun"/>
          <w:sz w:val="24"/>
          <w:lang w:val="en-US" w:eastAsia="zh-CN"/>
        </w:rPr>
        <w:t>If the mutation originated from a species other than E. coli, Clustal Omega (v1.2.4) was used for sequence alignment, and the mutation position was mapped to the corresponding site in E. coli.</w:t>
      </w:r>
    </w:p>
    <w:p w14:paraId="2BBBD599">
      <w:pPr>
        <w:numPr>
          <w:ilvl w:val="0"/>
          <w:numId w:val="0"/>
        </w:numPr>
        <w:rPr>
          <w:rFonts w:hint="eastAsia" w:ascii="Times New Roman" w:hAnsi="Times New Roman" w:eastAsia="SimSun"/>
          <w:sz w:val="24"/>
          <w:lang w:val="en-US" w:eastAsia="zh-CN"/>
        </w:rPr>
      </w:pPr>
    </w:p>
    <w:p w14:paraId="745D34EF">
      <w:pPr>
        <w:numPr>
          <w:ilvl w:val="0"/>
          <w:numId w:val="0"/>
        </w:numPr>
        <w:rPr>
          <w:rFonts w:hint="default" w:eastAsia="SimSun"/>
          <w:lang w:val="en-US" w:eastAsia="zh-CN"/>
        </w:rPr>
      </w:pPr>
      <w:r>
        <w:rPr>
          <w:rFonts w:hint="eastAsia" w:ascii="Times New Roman" w:hAnsi="Times New Roman" w:eastAsia="SimSun"/>
          <w:sz w:val="24"/>
          <w:lang w:val="en-US" w:eastAsia="zh-CN"/>
        </w:rPr>
        <w:t>The resulting standardized mutation table (latestnewdata.xlsx) includes a uniformly formatted amino acid position (AA_pos), mutation pattern (AA_change), species name, and reference number.</w:t>
      </w:r>
    </w:p>
    <w:p w14:paraId="347606CC">
      <w:pPr>
        <w:numPr>
          <w:ilvl w:val="0"/>
          <w:numId w:val="0"/>
        </w:numPr>
        <w:rPr>
          <w:rFonts w:hint="default" w:eastAsia="SimSun"/>
          <w:lang w:val="en-US" w:eastAsia="zh-CN"/>
        </w:rPr>
      </w:pPr>
      <w:r>
        <w:rPr>
          <w:rFonts w:hint="default" w:eastAsia="SimSun"/>
          <w:lang w:val="en-US" w:eastAsia="zh-CN"/>
        </w:rPr>
        <w:t>2.4 Unsupervised ML</w:t>
      </w:r>
    </w:p>
    <w:p w14:paraId="73CA43CB">
      <w:pPr>
        <w:numPr>
          <w:ilvl w:val="0"/>
          <w:numId w:val="0"/>
        </w:numPr>
        <w:rPr>
          <w:rFonts w:hint="default" w:eastAsia="SimSun"/>
          <w:lang w:val="en-US" w:eastAsia="zh-CN"/>
        </w:rPr>
      </w:pPr>
    </w:p>
    <w:p w14:paraId="4028EB23">
      <w:pPr>
        <w:numPr>
          <w:ilvl w:val="0"/>
          <w:numId w:val="0"/>
        </w:numPr>
        <w:rPr>
          <w:rFonts w:hint="default" w:eastAsia="SimSun"/>
          <w:lang w:val="en-US" w:eastAsia="zh-CN"/>
        </w:rPr>
      </w:pPr>
    </w:p>
    <w:p w14:paraId="366A83EC">
      <w:pPr>
        <w:numPr>
          <w:ilvl w:val="0"/>
          <w:numId w:val="0"/>
        </w:numPr>
        <w:rPr>
          <w:rFonts w:hint="default" w:eastAsia="SimSun"/>
          <w:lang w:val="en-US" w:eastAsia="zh-CN"/>
        </w:rPr>
      </w:pPr>
      <w:r>
        <w:rPr>
          <w:rFonts w:hint="default" w:eastAsia="SimSun"/>
          <w:lang w:val="en-US" w:eastAsia="zh-CN"/>
        </w:rPr>
        <w:t>To identify the clustering structure of mutation spectra across species, the authors first constructed a binary mutation matrix X_dense (rows = species, columns = mutations) using the Lab mutant dataset generated in the previous step.</w:t>
      </w:r>
      <w:r>
        <w:rPr>
          <w:rStyle w:val="134"/>
          <w:rFonts w:hint="eastAsia"/>
          <w:b/>
          <w:bCs/>
          <w:lang w:val="en-US" w:eastAsia="zh-CN"/>
        </w:rPr>
        <w:t>To make the results more readable and intuitive, the authors filtered the species × mutation matrix (X_dense) for species with low confounder scores (i.e., &lt;0.3).</w:t>
      </w:r>
    </w:p>
    <w:p w14:paraId="0BC4B100">
      <w:pPr>
        <w:numPr>
          <w:ilvl w:val="0"/>
          <w:numId w:val="0"/>
        </w:numPr>
        <w:rPr>
          <w:rFonts w:hint="default" w:eastAsia="SimSun"/>
          <w:lang w:val="en-US" w:eastAsia="zh-CN"/>
        </w:rPr>
      </w:pPr>
      <w:r>
        <w:rPr>
          <w:rFonts w:hint="eastAsia" w:eastAsia="SimSun"/>
          <w:lang w:val="en-US" w:eastAsia="zh-CN"/>
        </w:rPr>
        <w:t>Besids,</w:t>
      </w:r>
      <w:r>
        <w:rPr>
          <w:rFonts w:hint="default" w:eastAsia="SimSun"/>
          <w:lang w:val="en-US" w:eastAsia="zh-CN"/>
        </w:rPr>
        <w:t>after multiple attempts at plotting, the authors removed data from several species because their mutation data had too low overlap with other species. This was likely due to a misalignment in the coordinate system constructed using E. coli as the standard, or other issues beyond the scope of this project, leading to manual filtering.</w:t>
      </w:r>
    </w:p>
    <w:p w14:paraId="794B1698">
      <w:pPr>
        <w:numPr>
          <w:ilvl w:val="0"/>
          <w:numId w:val="0"/>
        </w:numPr>
        <w:rPr>
          <w:rFonts w:hint="default" w:eastAsia="SimSun"/>
          <w:lang w:val="en-US" w:eastAsia="zh-CN"/>
        </w:rPr>
      </w:pPr>
      <w:r>
        <w:rPr>
          <w:rFonts w:hint="default" w:eastAsia="SimSun"/>
          <w:lang w:val="en-US" w:eastAsia="zh-CN"/>
        </w:rPr>
        <w:t>UMAP (uwot v0.1.15) was used for nonlinear dimensionality reduction (n_neighbors=15, min_dist=0.3, seed=123). Four clustering algorithms were then applied to the embedding space: HDBSCAN (dbscan v1.1.11), DBSCAN, k-means, and GMM (mclust v6.0).</w:t>
      </w:r>
    </w:p>
    <w:p w14:paraId="429094F0">
      <w:pPr>
        <w:numPr>
          <w:ilvl w:val="0"/>
          <w:numId w:val="0"/>
        </w:numPr>
        <w:rPr>
          <w:rFonts w:hint="default" w:eastAsia="SimSun"/>
          <w:lang w:val="en-US" w:eastAsia="zh-CN"/>
        </w:rPr>
      </w:pPr>
      <w:r>
        <w:rPr>
          <w:rFonts w:hint="default" w:eastAsia="SimSun"/>
          <w:lang w:val="en-US" w:eastAsia="zh-CN"/>
        </w:rPr>
        <w:t>Three distance metrics (Euclidean, Manhattan, and Cosine) were combined to generate 12 schemes. The average silhouette score is calculated for each combination. The top three methods are selected based on the scores: Cosine–HDBSCAN, Euclidean–GMM, and Euclidean–HDBSCAN. The clustering results are visualized on their UMAP embeddings.</w:t>
      </w:r>
    </w:p>
    <w:p w14:paraId="0002139E">
      <w:pPr>
        <w:numPr>
          <w:ilvl w:val="0"/>
          <w:numId w:val="0"/>
        </w:numPr>
        <w:rPr>
          <w:rFonts w:hint="default" w:eastAsia="SimSun"/>
          <w:lang w:val="en-US" w:eastAsia="zh-CN"/>
        </w:rPr>
      </w:pPr>
      <w:r>
        <w:rPr>
          <w:rFonts w:hint="default" w:eastAsia="SimSun"/>
          <w:lang w:val="en-US" w:eastAsia="zh-CN"/>
        </w:rPr>
        <w:t>2.5 Supervised ML</w:t>
      </w:r>
    </w:p>
    <w:p w14:paraId="6919D8CE">
      <w:pPr>
        <w:numPr>
          <w:ilvl w:val="0"/>
          <w:numId w:val="0"/>
        </w:numPr>
        <w:rPr>
          <w:rFonts w:hint="default" w:eastAsia="SimSun"/>
          <w:lang w:val="en-US" w:eastAsia="zh-CN"/>
        </w:rPr>
      </w:pPr>
    </w:p>
    <w:p w14:paraId="0F9EE9CF">
      <w:pPr>
        <w:numPr>
          <w:ilvl w:val="0"/>
          <w:numId w:val="0"/>
        </w:numPr>
        <w:rPr>
          <w:rFonts w:hint="default" w:eastAsia="SimSun"/>
          <w:lang w:val="en-US" w:eastAsia="zh-CN"/>
        </w:rPr>
      </w:pPr>
      <w:r>
        <w:rPr>
          <w:rFonts w:hint="default" w:eastAsia="SimSun"/>
          <w:lang w:val="en-US" w:eastAsia="zh-CN"/>
        </w:rPr>
        <w:t>Using the clustering results and confounder score from unsupervised clustering, the authors narrowed the species and mutations used for training and prediction. They then trained a supervised learning model to test its ability to learn the distribution patterns of drug-resistant mutations.</w:t>
      </w:r>
    </w:p>
    <w:p w14:paraId="3569B87B">
      <w:pPr>
        <w:numPr>
          <w:ilvl w:val="0"/>
          <w:numId w:val="0"/>
        </w:numPr>
        <w:rPr>
          <w:rFonts w:hint="default" w:eastAsia="SimSun"/>
          <w:lang w:val="en-US" w:eastAsia="zh-CN"/>
        </w:rPr>
      </w:pPr>
      <w:r>
        <w:rPr>
          <w:rFonts w:hint="default" w:eastAsia="SimSun"/>
          <w:lang w:val="en-US" w:eastAsia="zh-CN"/>
        </w:rPr>
        <w:t>Using the Positive–Unlabeled Learning (PU-learning) framework, a binary classification model based on Random Forest (scikit-learn v1.3) was trained using known drug-resistant mutations as positive examples and unlabeled mutations as background samples. Furthermore, since the ALJE team had already collected a considerable number of "non-laboratory" mutations, the authors excluded these mutations from their predictions to ensure the "novelty" of the final results. A "novel mutation" is defined as one that does not appear in our compiled set of previously observed non-lab mutations after mapping all records to a unified E. coli rpoB amino-acid coordinate system.</w:t>
      </w:r>
    </w:p>
    <w:p w14:paraId="2F07F19B">
      <w:pPr>
        <w:numPr>
          <w:ilvl w:val="0"/>
          <w:numId w:val="0"/>
        </w:numPr>
        <w:rPr>
          <w:rFonts w:hint="default" w:eastAsia="SimSun"/>
          <w:lang w:val="en-US" w:eastAsia="zh-CN"/>
        </w:rPr>
      </w:pPr>
    </w:p>
    <w:p w14:paraId="4A126925">
      <w:pPr>
        <w:numPr>
          <w:ilvl w:val="0"/>
          <w:numId w:val="0"/>
        </w:numPr>
        <w:rPr>
          <w:rFonts w:hint="default" w:eastAsia="SimSun"/>
          <w:lang w:val="en-US" w:eastAsia="zh-CN"/>
        </w:rPr>
      </w:pPr>
      <w:r>
        <w:rPr>
          <w:rFonts w:hint="default" w:eastAsia="SimSun"/>
          <w:lang w:val="en-US" w:eastAsia="zh-CN"/>
        </w:rPr>
        <w:t>To evaluate the generalization ability of the model, a "mask-then-recover" strategy was employed: some positive mutations were randomly masked and then observed to see if the model could recover these mutations in the top K predictions.</w:t>
      </w:r>
    </w:p>
    <w:p w14:paraId="30099D65">
      <w:pPr>
        <w:numPr>
          <w:ilvl w:val="0"/>
          <w:numId w:val="0"/>
        </w:numPr>
        <w:rPr>
          <w:rFonts w:hint="default" w:eastAsia="SimSun"/>
          <w:lang w:val="en-US" w:eastAsia="zh-CN"/>
        </w:rPr>
      </w:pPr>
    </w:p>
    <w:p w14:paraId="0A5F8FF6">
      <w:pPr>
        <w:numPr>
          <w:ilvl w:val="0"/>
          <w:numId w:val="0"/>
        </w:numPr>
        <w:rPr>
          <w:rFonts w:hint="default" w:eastAsia="SimSun"/>
          <w:lang w:val="en-US" w:eastAsia="zh-CN"/>
        </w:rPr>
      </w:pPr>
      <w:r>
        <w:rPr>
          <w:rFonts w:hint="default" w:eastAsia="SimSun"/>
          <w:lang w:val="en-US" w:eastAsia="zh-CN"/>
        </w:rPr>
        <w:t>Top-K Strategy: Select the top K mutations with the highest predicted probability for each species. Threshold Strategy: Select mutations with p_true ≥ τ(0.7). Generate a list of candidate mutations for subsequent analysis and experimental verification.</w:t>
      </w:r>
    </w:p>
    <w:p w14:paraId="471E1B6C">
      <w:pPr>
        <w:numPr>
          <w:ilvl w:val="0"/>
          <w:numId w:val="0"/>
        </w:numPr>
        <w:rPr>
          <w:rFonts w:hint="default" w:eastAsia="SimSun"/>
          <w:lang w:val="en-US" w:eastAsia="zh-CN"/>
        </w:rPr>
      </w:pPr>
    </w:p>
    <w:p w14:paraId="0F67A26D">
      <w:pPr>
        <w:numPr>
          <w:ilvl w:val="0"/>
          <w:numId w:val="0"/>
        </w:numPr>
        <w:rPr>
          <w:rFonts w:hint="default" w:eastAsia="SimSun"/>
          <w:lang w:val="en-US" w:eastAsia="zh-CN"/>
        </w:rPr>
      </w:pPr>
      <w:r>
        <w:rPr>
          <w:rFonts w:hint="default" w:eastAsia="SimSun"/>
          <w:lang w:val="en-US" w:eastAsia="zh-CN"/>
        </w:rPr>
        <w:t>Model performance was measured using Recall@K, Precision, and ROC-AUC metrics, and was analyzed using the ROI-based validation dataset. The results were averaged from 100 repeated experiments.</w:t>
      </w:r>
    </w:p>
    <w:p w14:paraId="7CB3D239">
      <w:pPr>
        <w:numPr>
          <w:ilvl w:val="0"/>
          <w:numId w:val="0"/>
        </w:numPr>
        <w:rPr>
          <w:rFonts w:hint="default" w:eastAsia="SimSun"/>
          <w:lang w:val="en-US" w:eastAsia="zh-CN"/>
        </w:rPr>
      </w:pPr>
      <w:r>
        <w:rPr>
          <w:rFonts w:hint="default" w:eastAsia="SimSun"/>
          <w:lang w:val="en-US" w:eastAsia="zh-CN"/>
        </w:rPr>
        <w:t>2.6 Visualization and statistical analysis</w:t>
      </w:r>
    </w:p>
    <w:p w14:paraId="6D073445">
      <w:pPr>
        <w:numPr>
          <w:ilvl w:val="0"/>
          <w:numId w:val="0"/>
        </w:numPr>
        <w:rPr>
          <w:rFonts w:hint="default" w:eastAsia="SimSun"/>
          <w:lang w:val="en-US" w:eastAsia="zh-CN"/>
        </w:rPr>
      </w:pPr>
    </w:p>
    <w:p w14:paraId="006B908A">
      <w:pPr>
        <w:numPr>
          <w:ilvl w:val="0"/>
          <w:numId w:val="0"/>
        </w:numPr>
        <w:rPr>
          <w:rFonts w:hint="default" w:eastAsia="SimSun"/>
          <w:lang w:val="en-US" w:eastAsia="zh-CN"/>
        </w:rPr>
      </w:pPr>
    </w:p>
    <w:p w14:paraId="157B46E2">
      <w:pPr>
        <w:numPr>
          <w:ilvl w:val="0"/>
          <w:numId w:val="0"/>
        </w:numPr>
        <w:rPr>
          <w:rFonts w:hint="default" w:eastAsia="SimSun"/>
          <w:lang w:val="en-US" w:eastAsia="zh-CN"/>
        </w:rPr>
      </w:pPr>
    </w:p>
    <w:p w14:paraId="3D0C3AFC">
      <w:pPr>
        <w:numPr>
          <w:ilvl w:val="0"/>
          <w:numId w:val="0"/>
        </w:numPr>
        <w:rPr>
          <w:rFonts w:hint="default" w:eastAsia="SimSun"/>
          <w:lang w:val="en-US" w:eastAsia="zh-CN"/>
        </w:rPr>
      </w:pPr>
    </w:p>
    <w:p w14:paraId="3355995D">
      <w:pPr>
        <w:numPr>
          <w:ilvl w:val="0"/>
          <w:numId w:val="0"/>
        </w:numPr>
        <w:rPr>
          <w:rFonts w:hint="default" w:eastAsia="SimSun"/>
          <w:lang w:val="en-US" w:eastAsia="zh-CN"/>
        </w:rPr>
      </w:pPr>
      <w:r>
        <w:rPr>
          <w:rFonts w:hint="default" w:eastAsia="SimSun"/>
          <w:lang w:val="en-US" w:eastAsia="zh-CN"/>
        </w:rPr>
        <w:t>所有可视化分析均在 R (version 4.3.1) 环境中完成，主要使用 ggplot2 (v3.4.4)、ComplexHeatmap (v2.16) 与 UpSetR (v1.4.0)。</w:t>
      </w:r>
    </w:p>
    <w:p w14:paraId="0054CF47">
      <w:pPr>
        <w:numPr>
          <w:ilvl w:val="0"/>
          <w:numId w:val="0"/>
        </w:numPr>
        <w:rPr>
          <w:rFonts w:hint="default" w:eastAsia="SimSun"/>
          <w:lang w:val="en-US" w:eastAsia="zh-CN"/>
        </w:rPr>
      </w:pPr>
      <w:r>
        <w:rPr>
          <w:rFonts w:hint="default" w:eastAsia="SimSun"/>
          <w:lang w:val="en-US" w:eastAsia="zh-CN"/>
        </w:rPr>
        <w:t>热图用于展示突变分布与聚类一致性；</w:t>
      </w:r>
    </w:p>
    <w:p w14:paraId="1409F932">
      <w:pPr>
        <w:numPr>
          <w:ilvl w:val="0"/>
          <w:numId w:val="0"/>
        </w:numPr>
        <w:rPr>
          <w:rFonts w:hint="default" w:eastAsia="SimSun"/>
          <w:lang w:val="en-US" w:eastAsia="zh-CN"/>
        </w:rPr>
      </w:pPr>
      <w:r>
        <w:rPr>
          <w:rFonts w:hint="default" w:eastAsia="SimSun"/>
          <w:lang w:val="en-US" w:eastAsia="zh-CN"/>
        </w:rPr>
        <w:t>UpSet 图用于展示突变交集结构；</w:t>
      </w:r>
    </w:p>
    <w:p w14:paraId="45ACE6DB">
      <w:pPr>
        <w:numPr>
          <w:ilvl w:val="0"/>
          <w:numId w:val="0"/>
        </w:numPr>
        <w:rPr>
          <w:rFonts w:hint="default" w:eastAsia="SimSun"/>
          <w:lang w:val="en-US" w:eastAsia="zh-CN"/>
        </w:rPr>
      </w:pPr>
      <w:r>
        <w:rPr>
          <w:rFonts w:hint="default" w:eastAsia="SimSun"/>
          <w:lang w:val="en-US" w:eastAsia="zh-CN"/>
        </w:rPr>
        <w:t>统计检验包括 Fisher 精确检验与 Benjamini–Hochberg FDR 校正。</w:t>
      </w:r>
    </w:p>
    <w:p w14:paraId="4D8C14AD">
      <w:pPr>
        <w:pStyle w:val="3"/>
        <w:numPr>
          <w:ilvl w:val="0"/>
          <w:numId w:val="9"/>
        </w:numPr>
        <w:spacing w:after="120" w:line="360" w:lineRule="auto"/>
        <w:rPr>
          <w:rFonts w:ascii="Times New Roman" w:hAnsi="Times New Roman"/>
          <w:sz w:val="24"/>
        </w:rPr>
      </w:pPr>
      <w:r>
        <w:rPr>
          <w:rFonts w:ascii="Times New Roman" w:hAnsi="Times New Roman"/>
          <w:sz w:val="24"/>
        </w:rPr>
        <w:t>Results</w:t>
      </w:r>
    </w:p>
    <w:p w14:paraId="06E62E0E">
      <w:pPr>
        <w:rPr>
          <w:rFonts w:ascii="Times New Roman" w:hAnsi="Times New Roman"/>
          <w:sz w:val="24"/>
        </w:rPr>
      </w:pPr>
    </w:p>
    <w:p w14:paraId="05E0776C">
      <w:pPr>
        <w:rPr>
          <w:rStyle w:val="134"/>
          <w:rFonts w:hint="eastAsia"/>
          <w:b/>
          <w:bCs/>
          <w:lang w:val="en-US" w:eastAsia="zh-CN"/>
        </w:rPr>
      </w:pPr>
      <w:r>
        <w:rPr>
          <w:rStyle w:val="134"/>
          <w:rFonts w:hint="eastAsia"/>
          <w:b/>
          <w:bCs/>
          <w:lang w:val="en-US" w:eastAsia="zh-CN"/>
        </w:rPr>
        <w:t>Clustering results are systematically compared all combinations of three distance metrics (Euclidean, Manhattan, and Cosine) and four clustering algorithms (HDBSCAN, k-means, DBSCAN, and GMM). Each combination was first embedded in two dimensions using UMAP with uniform parameters (n_neighbors=15, min_dist=0.3, and seed=123). Clustering was then performed on the embedded space (minPts and eps were used for HDBSCAN/DBSCAN, k=4 for k-means, and optimality was automatically chosen for GMM). To mitigate noise, the average silhouette coefficient was calculated only on valid samples (with positive cluster labels and ≥2 clusters) as a quality metric. The top_k methods were selected from the highest to lowest silhouette coefficients. If restrict_metric is set, the optimization is performed within the specified metric; otherwise, the optimization is performed across all combinations. Scores and labels for all solutions were exported and archived to ensure reproducibility.</w:t>
      </w:r>
    </w:p>
    <w:p w14:paraId="5E970F09">
      <w:pPr>
        <w:rPr>
          <w:rStyle w:val="134"/>
          <w:rFonts w:hint="eastAsia"/>
          <w:b/>
          <w:bCs/>
          <w:lang w:val="en-US" w:eastAsia="zh-CN"/>
        </w:rPr>
      </w:pPr>
      <w:r>
        <w:rPr>
          <w:rStyle w:val="134"/>
          <w:rFonts w:hint="eastAsia"/>
          <w:b/>
          <w:bCs/>
          <w:lang w:val="en-US" w:eastAsia="zh-CN"/>
        </w:rPr>
        <w:t>For the top-selected methods, we present their UMAP projections and corresponding cluster heatmaps (all mutations and Top-30 versions) to compare the consistency and differences in clustering achieved by different algorithms in the mutation spectrum space.</w:t>
      </w:r>
    </w:p>
    <w:p w14:paraId="794D4E72">
      <w:pPr>
        <w:rPr>
          <w:rStyle w:val="134"/>
          <w:rFonts w:hint="eastAsia"/>
          <w:b/>
          <w:bCs/>
          <w:lang w:val="en-US" w:eastAsia="zh-CN"/>
        </w:rPr>
      </w:pPr>
    </w:p>
    <w:p w14:paraId="02018EDC">
      <w:pPr>
        <w:rPr>
          <w:rStyle w:val="134"/>
          <w:rFonts w:hint="eastAsia"/>
          <w:b/>
          <w:bCs/>
          <w:lang w:val="en-US" w:eastAsia="zh-CN"/>
        </w:rPr>
      </w:pPr>
      <w:r>
        <w:rPr>
          <w:rStyle w:val="134"/>
          <w:rFonts w:hint="eastAsia"/>
          <w:b/>
          <w:bCs/>
          <w:lang w:val="en-US" w:eastAsia="zh-CN"/>
        </w:rPr>
        <w:t>Based on the parameters of the X_dense_midhigh matrix, this study performed multi-algorithm clustering and visualization analysis of mutation distribution patterns across species. To verify the robustness and consistency of the clustering results, we used three top-performing clustering methods: Cosine–HDBSCAN, Euclidean–GMM, and Euclidean–HDBSCAN.</w:t>
      </w:r>
    </w:p>
    <w:p w14:paraId="41EA8880">
      <w:pPr>
        <w:rPr>
          <w:rStyle w:val="134"/>
          <w:rFonts w:hint="eastAsia"/>
          <w:b/>
          <w:bCs/>
          <w:lang w:val="en-US" w:eastAsia="zh-CN"/>
        </w:rPr>
      </w:pPr>
      <w:r>
        <w:rPr>
          <w:rStyle w:val="134"/>
          <w:rFonts w:hint="eastAsia"/>
          <w:b/>
          <w:bCs/>
          <w:lang w:val="en-US" w:eastAsia="zh-CN"/>
        </w:rPr>
        <w:t>The HDBSCAN algorithm automatically identifies clusters and excludes noise points in non-spherical data, while the GMM (Gaussian Mixture Model) captures the underlying continuous distribution of the data through probability density modeling. All three methods take a standardized mutation presence matrix as input. The dimensionality reduction and visualization uses the UMAP (Uniform Manifold Approximation and Projection) algorithm to preserve local topological relationships between samples. The UMAP scatter plot ( ) shows the distribution and cluster boundaries of each species in the two-dimensional latent space using the three methods. Different colors represent different cluster labels, which can intuitively reflect the similarity of mutational profiles between species. For example, Cosine–HDBSCAN effectively groups species with highly similar mutational profiles into the same cluster; Euclidean–GMM shows a relatively regular distribution with clear boundaries; and Euclidean–HDBSCAN demonstrates higher resolution when dealing with intermediate or noisy species. Overall, the cluster structures obtained by the three methods are highly consistent, indicating that mutational patterns are stable and reproducible across different metric spaces.</w:t>
      </w:r>
    </w:p>
    <w:p w14:paraId="394E6929">
      <w:pPr>
        <w:rPr>
          <w:rStyle w:val="134"/>
          <w:rFonts w:hint="eastAsia"/>
          <w:b/>
          <w:bCs/>
          <w:lang w:val="en-US" w:eastAsia="zh-CN"/>
        </w:rPr>
      </w:pPr>
      <w:r>
        <w:rPr>
          <w:rStyle w:val="134"/>
          <w:rFonts w:hint="eastAsia"/>
          <w:b/>
          <w:bCs/>
          <w:lang w:val="en-US" w:eastAsia="zh-CN"/>
        </w:rPr>
        <w:t>The heatmap ( ) further illustrates the shared mutations among species within each cluster. Rows represent species, columns represent mutation sites, and colors indicate the presence or absence of mutations (1/0). The color bars on the sides correspond to the cluster numbers in the UMAP clustering results. It can be seen that different clusters exhibit distinct complementarity or specificity in mutation distribution. For example, Cluster 0 is primarily concentrated in RRDR core mutations (such as D516, H526, and S531), while Cluster 2 is enriched in marginal or low-frequency mutations (such as Q148R and L533R). These clustering characteristics indicate that the mutation spectrum has certain phylogenetic and evolutionary differentiation characteristics.</w:t>
      </w:r>
    </w:p>
    <w:p w14:paraId="2A5FACEA">
      <w:pPr>
        <w:rPr>
          <w:rStyle w:val="134"/>
          <w:rFonts w:hint="eastAsia"/>
          <w:b w:val="0"/>
          <w:bCs w:val="0"/>
          <w:lang w:val="en-US" w:eastAsia="zh-CN"/>
        </w:rPr>
      </w:pPr>
    </w:p>
    <w:p w14:paraId="23DF0DD2">
      <w:pPr>
        <w:rPr>
          <w:rStyle w:val="134"/>
          <w:rFonts w:hint="eastAsia"/>
          <w:b w:val="0"/>
          <w:bCs w:val="0"/>
          <w:lang w:val="en-US" w:eastAsia="zh-CN"/>
        </w:rPr>
      </w:pPr>
    </w:p>
    <w:p w14:paraId="04AE6304">
      <w:pPr>
        <w:rPr>
          <w:rStyle w:val="134"/>
          <w:rFonts w:hint="eastAsia"/>
          <w:b w:val="0"/>
          <w:bCs w:val="0"/>
          <w:lang w:val="en-US" w:eastAsia="zh-CN"/>
        </w:rPr>
      </w:pPr>
    </w:p>
    <w:p w14:paraId="5048E788">
      <w:pPr>
        <w:rPr>
          <w:rFonts w:hint="default"/>
        </w:rPr>
      </w:pPr>
      <w:r>
        <w:rPr>
          <w:rFonts w:hint="default"/>
        </w:rPr>
        <w:t>Clustering Framework Overview</w:t>
      </w:r>
    </w:p>
    <w:p w14:paraId="14602035">
      <w:pPr>
        <w:rPr>
          <w:rFonts w:hint="default"/>
        </w:rPr>
      </w:pPr>
    </w:p>
    <w:p w14:paraId="4FEB4092">
      <w:pPr>
        <w:rPr>
          <w:rFonts w:hint="default"/>
        </w:rPr>
      </w:pPr>
      <w:r>
        <w:rPr>
          <w:rFonts w:hint="default"/>
        </w:rPr>
        <w:t>Based on the X_dense_midhigh matrix, the authors used three top-performing clustering methods: Cosine–HDBSCAN, Euclidean–GMM, and Euclidean–HDBSCAN. All three methods take a normalized mutation presence matrix as input and employ the Unified Mapping (UMAP) algorithm for dimensionality reduction and visualization, preserving local topological relationships between samples.</w:t>
      </w:r>
    </w:p>
    <w:p w14:paraId="75C27409">
      <w:pPr>
        <w:rPr>
          <w:rFonts w:hint="eastAsia" w:eastAsia="SimSun"/>
          <w:lang w:eastAsia="zh-CN"/>
        </w:rPr>
      </w:pPr>
      <w:r>
        <w:rPr>
          <w:rFonts w:hint="default"/>
        </w:rPr>
        <w:t>The UMAP scatter plots show the distribution and cluster boundaries of each species in the two-dimensional latent space using the three methods, with different colors representing different cluster labels.</w:t>
      </w:r>
      <w:r>
        <w:br w:type="textWrapping"/>
      </w:r>
      <w:r>
        <w:rPr>
          <w:rFonts w:hint="eastAsia" w:eastAsia="SimSun"/>
          <w:lang w:eastAsia="zh-CN"/>
        </w:rPr>
        <w:drawing>
          <wp:inline distT="0" distB="0" distL="114300" distR="114300">
            <wp:extent cx="6162040" cy="2054225"/>
            <wp:effectExtent l="0" t="0" r="10160" b="3175"/>
            <wp:docPr id="11" name="图片 11" descr="FIG_UMAP_abc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UMAP_abc_base"/>
                    <pic:cNvPicPr>
                      <a:picLocks noChangeAspect="1"/>
                    </pic:cNvPicPr>
                  </pic:nvPicPr>
                  <pic:blipFill>
                    <a:blip r:embed="rId6"/>
                    <a:stretch>
                      <a:fillRect/>
                    </a:stretch>
                  </pic:blipFill>
                  <pic:spPr>
                    <a:xfrm>
                      <a:off x="0" y="0"/>
                      <a:ext cx="6162040" cy="2054225"/>
                    </a:xfrm>
                    <a:prstGeom prst="rect">
                      <a:avLst/>
                    </a:prstGeom>
                  </pic:spPr>
                </pic:pic>
              </a:graphicData>
            </a:graphic>
          </wp:inline>
        </w:drawing>
      </w:r>
    </w:p>
    <w:p w14:paraId="0797F216">
      <w:pPr>
        <w:rPr>
          <w:rFonts w:hint="eastAsia" w:eastAsia="SimSun"/>
          <w:lang w:eastAsia="zh-CN"/>
        </w:rPr>
      </w:pPr>
      <w:bookmarkStart w:id="0" w:name="_GoBack"/>
      <w:bookmarkEnd w:id="0"/>
    </w:p>
    <w:p w14:paraId="6BFCCE59">
      <w:pPr>
        <w:rPr>
          <w:rFonts w:hint="default"/>
          <w:b/>
          <w:bCs/>
        </w:rPr>
      </w:pPr>
      <w:r>
        <w:rPr>
          <w:rFonts w:hint="default"/>
          <w:b/>
          <w:bCs/>
        </w:rPr>
        <w:t>Mutation Distribution and Intra-Cluster Characteristics</w:t>
      </w:r>
    </w:p>
    <w:p w14:paraId="0C132D72">
      <w:pPr>
        <w:rPr>
          <w:rFonts w:hint="default"/>
        </w:rPr>
      </w:pPr>
    </w:p>
    <w:p w14:paraId="01A21221">
      <w:pPr>
        <w:rPr>
          <w:rFonts w:hint="default"/>
        </w:rPr>
      </w:pPr>
      <w:r>
        <w:rPr>
          <w:rFonts w:hint="default"/>
        </w:rPr>
        <w:t>The heatmap further illustrates the shared mutations among species within each cluster. Rows represent species, columns represent mutation sites, and colors indicate the presence or absence of mutations.</w:t>
      </w:r>
    </w:p>
    <w:p w14:paraId="28624E49">
      <w:r>
        <w:rPr>
          <w:rFonts w:hint="default"/>
        </w:rPr>
        <w:t>The color bars on the sides correspond to the cluster numbers in the UMAP clustering results. Different clusters exhibit distinct complementarities or specificities in their mutation distributions.</w:t>
      </w:r>
      <w:r>
        <w:br w:type="textWrapping"/>
      </w:r>
    </w:p>
    <w:p w14:paraId="1EADFF50"/>
    <w:p w14:paraId="3BF85EFE"/>
    <w:p w14:paraId="3338CBF7">
      <w:r>
        <w:br w:type="textWrapping"/>
      </w:r>
    </w:p>
    <w:p w14:paraId="45B60082">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Analysis of the best clustering methods reveals that the best clustering method for mid-high-level data is cosine–HDBSCAN, followed by euclidean–GMM.</w:t>
      </w:r>
    </w:p>
    <w:p w14:paraId="099518C3">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Both algorithms tend to capture density differences and multimodal distributions.</w:t>
      </w:r>
    </w:p>
    <w:p w14:paraId="456FC62E">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This "density difference" can be seen in the changes in the UpSet graph:</w:t>
      </w:r>
    </w:p>
    <w:p w14:paraId="70948FA4">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Top 10 species → one or two density peaks (highly shared mutations);</w:t>
      </w:r>
    </w:p>
    <w:p w14:paraId="566067D1">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Mid-high → multiple flat peaks (local commonality but overall sparseness).</w:t>
      </w:r>
    </w:p>
    <w:p w14:paraId="1D94E6F6">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This suggests that the broadened species dimension of the UpSet graph already reflects the tendency of your cluster structure to become sparser at the mutation level.</w:t>
      </w:r>
    </w:p>
    <w:p w14:paraId="64A86148">
      <w:pPr>
        <w:rPr>
          <w:rStyle w:val="134"/>
          <w:rFonts w:hint="eastAsia"/>
          <w:b/>
          <w:bCs/>
          <w:lang w:val="en-US" w:eastAsia="zh-CN"/>
        </w:rPr>
      </w:pPr>
      <w:r>
        <w:rPr>
          <w:rStyle w:val="134"/>
          <w:rFonts w:hint="eastAsia"/>
          <w:b/>
          <w:bCs/>
          <w:lang w:val="en-US" w:eastAsia="zh-CN"/>
        </w:rPr>
        <w:drawing>
          <wp:inline distT="0" distB="0" distL="114300" distR="114300">
            <wp:extent cx="5687060" cy="2166620"/>
            <wp:effectExtent l="0" t="0" r="12700" b="12700"/>
            <wp:docPr id="10" name="图片 10" descr="FIG_HeatmapTop30_abc_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HeatmapTop30_abc_base"/>
                    <pic:cNvPicPr>
                      <a:picLocks noChangeAspect="1"/>
                    </pic:cNvPicPr>
                  </pic:nvPicPr>
                  <pic:blipFill>
                    <a:blip r:embed="rId7"/>
                    <a:stretch>
                      <a:fillRect/>
                    </a:stretch>
                  </pic:blipFill>
                  <pic:spPr>
                    <a:xfrm>
                      <a:off x="0" y="0"/>
                      <a:ext cx="5687060" cy="2166620"/>
                    </a:xfrm>
                    <a:prstGeom prst="rect">
                      <a:avLst/>
                    </a:prstGeom>
                  </pic:spPr>
                </pic:pic>
              </a:graphicData>
            </a:graphic>
          </wp:inline>
        </w:drawing>
      </w:r>
    </w:p>
    <w:p w14:paraId="0B740CD2">
      <w:pPr>
        <w:rPr>
          <w:rStyle w:val="134"/>
          <w:rFonts w:hint="eastAsia"/>
          <w:b/>
          <w:bCs/>
          <w:lang w:val="en-US" w:eastAsia="zh-CN"/>
        </w:rPr>
      </w:pPr>
      <w:r>
        <w:rPr>
          <w:rStyle w:val="134"/>
          <w:rFonts w:hint="eastAsia"/>
          <w:b/>
          <w:bCs/>
          <w:lang w:val="en-US" w:eastAsia="zh-CN"/>
        </w:rPr>
        <w:t>Comparison of Clustering Patterns at Different Confounder Levels</w:t>
      </w:r>
    </w:p>
    <w:p w14:paraId="4849A946">
      <w:pPr>
        <w:rPr>
          <w:rStyle w:val="134"/>
          <w:rFonts w:hint="eastAsia"/>
          <w:b w:val="0"/>
          <w:bCs w:val="0"/>
          <w:lang w:val="en-US" w:eastAsia="zh-CN"/>
        </w:rPr>
      </w:pPr>
    </w:p>
    <w:p w14:paraId="060EA2C6">
      <w:pPr>
        <w:rPr>
          <w:rStyle w:val="134"/>
          <w:rFonts w:hint="eastAsia"/>
          <w:b w:val="0"/>
          <w:bCs w:val="0"/>
          <w:lang w:val="en-US" w:eastAsia="zh-CN"/>
        </w:rPr>
      </w:pPr>
      <w:r>
        <w:rPr>
          <w:rStyle w:val="134"/>
          <w:rFonts w:hint="eastAsia"/>
          <w:b w:val="0"/>
          <w:bCs w:val="0"/>
          <w:lang w:val="en-US" w:eastAsia="zh-CN"/>
        </w:rPr>
        <w:t>To ensure that clustering results are not significantly biased towards highly studied species versus less studied ones, the authors specifically compared clustering results for data with high confounder and mid-high confounder levels.</w:t>
      </w:r>
    </w:p>
    <w:p w14:paraId="36AA7FA2">
      <w:pPr>
        <w:rPr>
          <w:rStyle w:val="134"/>
          <w:rFonts w:hint="eastAsia"/>
          <w:b w:val="0"/>
          <w:bCs w:val="0"/>
          <w:lang w:val="en-US" w:eastAsia="zh-CN"/>
        </w:rPr>
      </w:pPr>
    </w:p>
    <w:p w14:paraId="6EAC5FAC">
      <w:pPr>
        <w:rPr>
          <w:rStyle w:val="134"/>
          <w:rFonts w:hint="eastAsia"/>
          <w:b w:val="0"/>
          <w:bCs w:val="0"/>
          <w:lang w:val="en-US" w:eastAsia="zh-CN"/>
        </w:rPr>
      </w:pPr>
      <w:r>
        <w:rPr>
          <w:rStyle w:val="134"/>
          <w:rFonts w:hint="eastAsia"/>
          <w:b w:val="0"/>
          <w:bCs w:val="0"/>
          <w:lang w:val="en-US" w:eastAsia="zh-CN"/>
        </w:rPr>
        <w:t>Despite varying noise levels, the clustering structures obtained by the three methods are generally consistent, demonstrating that mutation patterns are robust and reproducible across different metric spaces.</w:t>
      </w:r>
    </w:p>
    <w:p w14:paraId="4C392C38">
      <w:pPr>
        <w:rPr>
          <w:rStyle w:val="134"/>
          <w:rFonts w:hint="eastAsia" w:eastAsia="SimSun"/>
          <w:b w:val="0"/>
          <w:bCs w:val="0"/>
          <w:lang w:val="en-US" w:eastAsia="zh-CN"/>
        </w:rPr>
      </w:pPr>
      <w:r>
        <w:rPr>
          <w:rStyle w:val="134"/>
          <w:rFonts w:hint="eastAsia"/>
          <w:b w:val="0"/>
          <w:bCs w:val="0"/>
          <w:lang w:val="en-US" w:eastAsia="zh-CN"/>
        </w:rPr>
        <w:drawing>
          <wp:inline distT="0" distB="0" distL="114300" distR="114300">
            <wp:extent cx="5486400" cy="3657600"/>
            <wp:effectExtent l="0" t="0" r="0" b="0"/>
            <wp:docPr id="2" name="图片 2" descr="heatmap_COSINE_GMM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eatmap_COSINE_GMM_top30_simple"/>
                    <pic:cNvPicPr>
                      <a:picLocks noChangeAspect="1"/>
                    </pic:cNvPicPr>
                  </pic:nvPicPr>
                  <pic:blipFill>
                    <a:blip r:embed="rId8"/>
                    <a:stretch>
                      <a:fillRect/>
                    </a:stretch>
                  </pic:blipFill>
                  <pic:spPr>
                    <a:xfrm>
                      <a:off x="0" y="0"/>
                      <a:ext cx="5486400" cy="3657600"/>
                    </a:xfrm>
                    <a:prstGeom prst="rect">
                      <a:avLst/>
                    </a:prstGeom>
                  </pic:spPr>
                </pic:pic>
              </a:graphicData>
            </a:graphic>
          </wp:inline>
        </w:drawing>
      </w:r>
    </w:p>
    <w:p w14:paraId="5D8FCC64">
      <w:pPr>
        <w:rPr>
          <w:rStyle w:val="134"/>
          <w:rFonts w:hint="default"/>
          <w:b w:val="0"/>
          <w:bCs w:val="0"/>
          <w:lang w:val="en-US" w:eastAsia="zh-CN"/>
        </w:rPr>
      </w:pPr>
      <w:r>
        <w:rPr>
          <w:rStyle w:val="134"/>
          <w:rFonts w:hint="eastAsia"/>
          <w:b w:val="0"/>
          <w:bCs w:val="0"/>
          <w:lang w:val="en-US" w:eastAsia="zh-CN"/>
        </w:rPr>
        <w:drawing>
          <wp:inline distT="0" distB="0" distL="114300" distR="114300">
            <wp:extent cx="5486400" cy="3657600"/>
            <wp:effectExtent l="0" t="0" r="0" b="0"/>
            <wp:docPr id="8" name="图片 8" descr="heatmap_EUCLIDEAN_GMM_top30_si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eatmap_EUCLIDEAN_GMM_top30_simple"/>
                    <pic:cNvPicPr>
                      <a:picLocks noChangeAspect="1"/>
                    </pic:cNvPicPr>
                  </pic:nvPicPr>
                  <pic:blipFill>
                    <a:blip r:embed="rId9"/>
                    <a:stretch>
                      <a:fillRect/>
                    </a:stretch>
                  </pic:blipFill>
                  <pic:spPr>
                    <a:xfrm>
                      <a:off x="0" y="0"/>
                      <a:ext cx="5486400" cy="3657600"/>
                    </a:xfrm>
                    <a:prstGeom prst="rect">
                      <a:avLst/>
                    </a:prstGeom>
                  </pic:spPr>
                </pic:pic>
              </a:graphicData>
            </a:graphic>
          </wp:inline>
        </w:drawing>
      </w:r>
    </w:p>
    <w:p w14:paraId="0B8D7100">
      <w:pPr>
        <w:rPr>
          <w:rStyle w:val="134"/>
          <w:rFonts w:hint="eastAsia"/>
          <w:b w:val="0"/>
          <w:bCs w:val="0"/>
          <w:lang w:val="en-US" w:eastAsia="zh-CN"/>
        </w:rPr>
      </w:pPr>
    </w:p>
    <w:p w14:paraId="794E5D10">
      <w:pPr>
        <w:rPr>
          <w:rStyle w:val="134"/>
          <w:rFonts w:hint="eastAsia"/>
          <w:b/>
          <w:bCs/>
          <w:lang w:val="en-US" w:eastAsia="zh-CN"/>
        </w:rPr>
      </w:pPr>
      <w:r>
        <w:rPr>
          <w:rStyle w:val="134"/>
          <w:rFonts w:hint="eastAsia"/>
          <w:b/>
          <w:bCs/>
          <w:lang w:val="en-US" w:eastAsia="zh-CN"/>
        </w:rPr>
        <w:t>Mutation Intersection Relationships (UpSet Analysis)</w:t>
      </w:r>
    </w:p>
    <w:p w14:paraId="05CE0D1B">
      <w:pPr>
        <w:rPr>
          <w:rStyle w:val="134"/>
          <w:rFonts w:hint="eastAsia"/>
          <w:b w:val="0"/>
          <w:bCs w:val="0"/>
          <w:lang w:val="en-US" w:eastAsia="zh-CN"/>
        </w:rPr>
      </w:pPr>
    </w:p>
    <w:p w14:paraId="3BCDC3C6">
      <w:pPr>
        <w:rPr>
          <w:rStyle w:val="134"/>
          <w:rFonts w:hint="eastAsia"/>
          <w:b w:val="0"/>
          <w:bCs w:val="0"/>
          <w:lang w:val="en-US" w:eastAsia="zh-CN"/>
        </w:rPr>
      </w:pPr>
      <w:r>
        <w:rPr>
          <w:rStyle w:val="134"/>
          <w:rFonts w:hint="eastAsia"/>
          <w:b w:val="0"/>
          <w:bCs w:val="0"/>
          <w:lang w:val="en-US" w:eastAsia="zh-CN"/>
        </w:rPr>
        <w:t>UpSet plots demonstrate the shared mutation relationships between species. Species are set elements, and the bar graphs represent the size of the intersections.</w:t>
      </w:r>
    </w:p>
    <w:p w14:paraId="765C4811">
      <w:pPr>
        <w:rPr>
          <w:rStyle w:val="134"/>
          <w:rFonts w:hint="eastAsia"/>
          <w:b w:val="0"/>
          <w:bCs w:val="0"/>
          <w:lang w:val="en-US" w:eastAsia="zh-CN"/>
        </w:rPr>
      </w:pPr>
    </w:p>
    <w:p w14:paraId="5CB46404">
      <w:pPr>
        <w:rPr>
          <w:rStyle w:val="134"/>
          <w:rFonts w:hint="eastAsia"/>
          <w:b w:val="0"/>
          <w:bCs w:val="0"/>
          <w:lang w:val="en-US" w:eastAsia="zh-CN"/>
        </w:rPr>
      </w:pPr>
      <w:r>
        <w:rPr>
          <w:rStyle w:val="134"/>
          <w:rFonts w:hint="eastAsia"/>
          <w:b w:val="0"/>
          <w:bCs w:val="0"/>
          <w:lang w:val="en-US" w:eastAsia="zh-CN"/>
        </w:rPr>
        <w:t>In the mid-high dataset, some bacterial genera (e.g., Pseudomonas and Bacillus) share multiple high-frequency rpoB mutation sites, suggesting convergence in resistance mechanisms across lineages.</w:t>
      </w:r>
    </w:p>
    <w:p w14:paraId="7505870B">
      <w:pPr>
        <w:pStyle w:val="30"/>
        <w:keepNext w:val="0"/>
        <w:keepLines w:val="0"/>
        <w:widowControl/>
        <w:suppressLineNumbers w:val="0"/>
        <w:rPr>
          <w:rFonts w:hint="eastAsia" w:ascii="SimSun" w:hAnsi="SimSun" w:eastAsia="SimSun" w:cs="SimSun"/>
          <w:sz w:val="24"/>
        </w:rPr>
      </w:pPr>
      <w:r>
        <w:rPr>
          <w:rStyle w:val="134"/>
          <w:rFonts w:hint="eastAsia"/>
          <w:b/>
          <w:bCs/>
          <w:lang w:val="en-US" w:eastAsia="zh-CN"/>
        </w:rPr>
        <w:drawing>
          <wp:inline distT="0" distB="0" distL="114300" distR="114300">
            <wp:extent cx="5472430" cy="3283585"/>
            <wp:effectExtent l="0" t="0" r="13970" b="8255"/>
            <wp:docPr id="18" name="图片 18" descr="mutation_species_upset_midHigh_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utation_species_upset_midHigh_balanced"/>
                    <pic:cNvPicPr>
                      <a:picLocks noChangeAspect="1"/>
                    </pic:cNvPicPr>
                  </pic:nvPicPr>
                  <pic:blipFill>
                    <a:blip r:embed="rId10"/>
                    <a:stretch>
                      <a:fillRect/>
                    </a:stretch>
                  </pic:blipFill>
                  <pic:spPr>
                    <a:xfrm>
                      <a:off x="0" y="0"/>
                      <a:ext cx="5472430" cy="3283585"/>
                    </a:xfrm>
                    <a:prstGeom prst="rect">
                      <a:avLst/>
                    </a:prstGeom>
                  </pic:spPr>
                </pic:pic>
              </a:graphicData>
            </a:graphic>
          </wp:inline>
        </w:drawing>
      </w:r>
      <w:r>
        <w:rPr>
          <w:rFonts w:hint="eastAsia" w:ascii="SimSun" w:hAnsi="SimSun" w:eastAsia="SimSun" w:cs="SimSun"/>
          <w:sz w:val="24"/>
        </w:rPr>
        <w:t xml:space="preserve"> </w:t>
      </w:r>
    </w:p>
    <w:p w14:paraId="649A278E">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blue horizontal bar on the left (Set Size) represents the total number of mutations in each species (set), that is, the number of mutations possessed by that species.</w:t>
      </w:r>
    </w:p>
    <w:p w14:paraId="631E99E0">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longer the blue bar, the greater the total number of mutations in that species.</w:t>
      </w:r>
    </w:p>
    <w:p w14:paraId="420B75E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dot matrix at the bottom (Sets) represents the intersection of different species combinations.</w:t>
      </w:r>
    </w:p>
    <w:p w14:paraId="1C3E5CCA">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Each vertical column corresponds to a species combination; a black dot indicates that the species is included in the set, and a gray dot indicates that it is not.</w:t>
      </w:r>
    </w:p>
    <w:p w14:paraId="0FBFD48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A line connecting multiple black dots in a column indicates that those species share the same set of mutations.</w:t>
      </w:r>
    </w:p>
    <w:p w14:paraId="6AA1B5D5">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black bar above (Intersection Size) represents the number of mutations shared by that species combination.</w:t>
      </w:r>
    </w:p>
    <w:p w14:paraId="221360EC">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taller the bar, the more mutations are shared among the species in that group.</w:t>
      </w:r>
    </w:p>
    <w:p w14:paraId="5902DC18">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Some mutations are shared by a very large number of species (for example, 20 species share certain mutations).</w:t>
      </w:r>
    </w:p>
    <w:p w14:paraId="4A2DBB08">
      <w:pPr>
        <w:pStyle w:val="30"/>
        <w:keepNext w:val="0"/>
        <w:keepLines w:val="0"/>
        <w:widowControl/>
        <w:suppressLineNumbers w:val="0"/>
        <w:rPr>
          <w:rFonts w:hint="default" w:ascii="Times New Roman" w:hAnsi="Times New Roman" w:eastAsia="SimSun" w:cs="Times New Roman"/>
          <w:b/>
          <w:bCs/>
          <w:sz w:val="24"/>
        </w:rPr>
      </w:pPr>
      <w:r>
        <w:rPr>
          <w:rFonts w:hint="default" w:ascii="Times New Roman" w:hAnsi="Times New Roman" w:eastAsia="SimSun" w:cs="Times New Roman"/>
          <w:b/>
          <w:bCs/>
          <w:sz w:val="24"/>
        </w:rPr>
        <w:t>Only a few mutations are widely distributed across multiple species, while most mutations occur in only a few species.</w:t>
      </w:r>
    </w:p>
    <w:p w14:paraId="72FF269C">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The distribution of mutations across species is significantly uneven.</w:t>
      </w:r>
    </w:p>
    <w:p w14:paraId="34BF5E0B">
      <w:pPr>
        <w:pStyle w:val="30"/>
        <w:keepNext w:val="0"/>
        <w:keepLines w:val="0"/>
        <w:widowControl/>
        <w:suppressLineNumbers w:val="0"/>
        <w:rPr>
          <w:rFonts w:hint="default" w:ascii="Times New Roman" w:hAnsi="Times New Roman" w:eastAsia="SimSun" w:cs="Times New Roman"/>
          <w:sz w:val="24"/>
        </w:rPr>
      </w:pPr>
      <w:r>
        <w:rPr>
          <w:rFonts w:hint="default" w:ascii="Times New Roman" w:hAnsi="Times New Roman" w:eastAsia="SimSun" w:cs="Times New Roman"/>
          <w:sz w:val="24"/>
        </w:rPr>
        <w:t>Certain core mutation combinations are common across multiple species, potentially reflecting conserved drug resistance mechanisms.</w:t>
      </w:r>
    </w:p>
    <w:p w14:paraId="07C9027F">
      <w:pPr>
        <w:rPr>
          <w:rStyle w:val="134"/>
          <w:rFonts w:hint="eastAsia"/>
          <w:b/>
          <w:bCs/>
          <w:lang w:val="en-US" w:eastAsia="zh-CN"/>
        </w:rPr>
      </w:pPr>
      <w:r>
        <w:rPr>
          <w:rFonts w:hint="eastAsia" w:ascii="SimSun" w:hAnsi="SimSun" w:eastAsia="SimSun" w:cs="SimSun"/>
          <w:sz w:val="24"/>
        </w:rPr>
        <w:t xml:space="preserve">  </w:t>
      </w:r>
    </w:p>
    <w:p w14:paraId="2095A922">
      <w:pPr>
        <w:rPr>
          <w:rStyle w:val="134"/>
          <w:rFonts w:hint="eastAsia"/>
          <w:b/>
          <w:bCs/>
          <w:lang w:val="en-US" w:eastAsia="zh-CN"/>
        </w:rPr>
      </w:pPr>
      <w:r>
        <w:rPr>
          <w:rStyle w:val="134"/>
          <w:rFonts w:hint="eastAsia"/>
          <w:b/>
          <w:bCs/>
          <w:lang w:val="en-US" w:eastAsia="zh-CN"/>
        </w:rPr>
        <w:drawing>
          <wp:inline distT="0" distB="0" distL="114300" distR="114300">
            <wp:extent cx="5486400" cy="3429000"/>
            <wp:effectExtent l="0" t="0" r="0" b="0"/>
            <wp:docPr id="19" name="图片 19" descr="top10mut_species_up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top10mut_species_upset"/>
                    <pic:cNvPicPr>
                      <a:picLocks noChangeAspect="1"/>
                    </pic:cNvPicPr>
                  </pic:nvPicPr>
                  <pic:blipFill>
                    <a:blip r:embed="rId11"/>
                    <a:stretch>
                      <a:fillRect/>
                    </a:stretch>
                  </pic:blipFill>
                  <pic:spPr>
                    <a:xfrm>
                      <a:off x="0" y="0"/>
                      <a:ext cx="5486400" cy="3429000"/>
                    </a:xfrm>
                    <a:prstGeom prst="rect">
                      <a:avLst/>
                    </a:prstGeom>
                  </pic:spPr>
                </pic:pic>
              </a:graphicData>
            </a:graphic>
          </wp:inline>
        </w:drawing>
      </w:r>
    </w:p>
    <w:p w14:paraId="6D3F6EFE">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red horizontal bar on the left (Selected mutation frequency) indicates the number of species in which each mutation occurs. Longer red bars indicate more common mutations.</w:t>
      </w:r>
    </w:p>
    <w:p w14:paraId="0B3FCD44">
      <w:pPr>
        <w:rPr>
          <w:rStyle w:val="134"/>
          <w:rFonts w:hint="default" w:ascii="Times New Roman" w:hAnsi="Times New Roman" w:cs="Times New Roman"/>
          <w:b w:val="0"/>
          <w:bCs w:val="0"/>
          <w:lang w:val="en-US" w:eastAsia="zh-CN"/>
        </w:rPr>
      </w:pPr>
    </w:p>
    <w:p w14:paraId="368116A4">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bottom matrix (Sets): Each column represents a mutation combination (i.e., which mutations co-occur in the same species).</w:t>
      </w:r>
    </w:p>
    <w:p w14:paraId="125BA773">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A black dot indicates that the mutation is included in the set, and a line connecting the dots indicates that these mutations co-occur.</w:t>
      </w:r>
    </w:p>
    <w:p w14:paraId="23053027">
      <w:pPr>
        <w:rPr>
          <w:rStyle w:val="134"/>
          <w:rFonts w:hint="default" w:ascii="Times New Roman" w:hAnsi="Times New Roman" w:cs="Times New Roman"/>
          <w:b w:val="0"/>
          <w:bCs w:val="0"/>
          <w:lang w:val="en-US" w:eastAsia="zh-CN"/>
        </w:rPr>
      </w:pPr>
    </w:p>
    <w:p w14:paraId="333E20E7">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upper bars (Number of species): Show how many species share that set of mutations.</w:t>
      </w:r>
    </w:p>
    <w:p w14:paraId="3C789714">
      <w:pPr>
        <w:rPr>
          <w:rStyle w:val="134"/>
          <w:rFonts w:hint="default" w:ascii="Times New Roman" w:hAnsi="Times New Roman" w:cs="Times New Roman"/>
          <w:b w:val="0"/>
          <w:bCs w:val="0"/>
          <w:lang w:val="en-US" w:eastAsia="zh-CN"/>
        </w:rPr>
      </w:pPr>
    </w:p>
    <w:p w14:paraId="2A160688">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taller the bar, the higher the bar on the far left, is 4, indicating that four species share the mutation combination shown in that column (typically including the classic combination of S531F and H526Y).</w:t>
      </w:r>
    </w:p>
    <w:p w14:paraId="3B4E205C">
      <w:pPr>
        <w:rPr>
          <w:rStyle w:val="134"/>
          <w:rFonts w:hint="default" w:ascii="Times New Roman" w:hAnsi="Times New Roman" w:cs="Times New Roman"/>
          <w:b w:val="0"/>
          <w:bCs w:val="0"/>
          <w:lang w:val="en-US" w:eastAsia="zh-CN"/>
        </w:rPr>
      </w:pPr>
    </w:p>
    <w:p w14:paraId="4B587686">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The remaining bars are mostly 1 or 2 in height, indicating that most mutation combinations co-occur in only a very small number of species.</w:t>
      </w:r>
    </w:p>
    <w:p w14:paraId="6FC42CBC">
      <w:pPr>
        <w:rPr>
          <w:rStyle w:val="134"/>
          <w:rFonts w:hint="default" w:ascii="Times New Roman" w:hAnsi="Times New Roman" w:cs="Times New Roman"/>
          <w:b w:val="0"/>
          <w:bCs w:val="0"/>
          <w:lang w:val="en-US" w:eastAsia="zh-CN"/>
        </w:rPr>
      </w:pPr>
    </w:p>
    <w:p w14:paraId="6588D4BF">
      <w:pPr>
        <w:rPr>
          <w:rStyle w:val="134"/>
          <w:rFonts w:hint="default" w:ascii="Times New Roman" w:hAnsi="Times New Roman" w:cs="Times New Roman"/>
          <w:b w:val="0"/>
          <w:bCs w:val="0"/>
          <w:lang w:val="en-US" w:eastAsia="zh-CN"/>
        </w:rPr>
      </w:pPr>
      <w:r>
        <w:rPr>
          <w:rStyle w:val="134"/>
          <w:rFonts w:hint="default" w:ascii="Times New Roman" w:hAnsi="Times New Roman" w:cs="Times New Roman"/>
          <w:b w:val="0"/>
          <w:bCs w:val="0"/>
          <w:lang w:val="en-US" w:eastAsia="zh-CN"/>
        </w:rPr>
        <w:t>rpoB_S531F and rpoB_H526Y are the most frequently occurring mutations, each appearing in over 20 species. They are typical rifampicin resistance loci.</w:t>
      </w:r>
    </w:p>
    <w:p w14:paraId="1C193C0B">
      <w:pPr>
        <w:rPr>
          <w:rStyle w:val="134"/>
          <w:rFonts w:hint="default" w:ascii="Times New Roman" w:hAnsi="Times New Roman" w:cs="Times New Roman"/>
          <w:b/>
          <w:bCs/>
          <w:lang w:val="en-US" w:eastAsia="zh-CN"/>
        </w:rPr>
      </w:pPr>
      <w:r>
        <w:rPr>
          <w:rStyle w:val="134"/>
          <w:rFonts w:hint="default" w:ascii="Times New Roman" w:hAnsi="Times New Roman" w:cs="Times New Roman"/>
          <w:b/>
          <w:bCs/>
          <w:lang w:val="en-US" w:eastAsia="zh-CN"/>
        </w:rPr>
        <w:t>Core sites of resistance mutations are highly conserved, but multi-site co-occurrence patterns are species-specificGram-positive and -negative differentiation analysis.</w:t>
      </w:r>
    </w:p>
    <w:p w14:paraId="5842BAFC">
      <w:pPr>
        <w:rPr>
          <w:rStyle w:val="134"/>
          <w:rFonts w:hint="eastAsia"/>
          <w:b w:val="0"/>
          <w:bCs w:val="0"/>
          <w:lang w:val="en-US" w:eastAsia="zh-CN"/>
        </w:rPr>
      </w:pPr>
      <w:r>
        <w:rPr>
          <w:rStyle w:val="134"/>
          <w:rFonts w:hint="eastAsia"/>
          <w:b w:val="0"/>
          <w:bCs w:val="0"/>
          <w:lang w:val="en-US" w:eastAsia="zh-CN"/>
        </w:rPr>
        <w:drawing>
          <wp:inline distT="0" distB="0" distL="114300" distR="114300">
            <wp:extent cx="5486400" cy="2743200"/>
            <wp:effectExtent l="0" t="0" r="0" b="0"/>
            <wp:docPr id="20" name="图片 20" descr="bar_topKmut_spe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bar_topKmut_species"/>
                    <pic:cNvPicPr>
                      <a:picLocks noChangeAspect="1"/>
                    </pic:cNvPicPr>
                  </pic:nvPicPr>
                  <pic:blipFill>
                    <a:blip r:embed="rId12"/>
                    <a:stretch>
                      <a:fillRect/>
                    </a:stretch>
                  </pic:blipFill>
                  <pic:spPr>
                    <a:xfrm>
                      <a:off x="0" y="0"/>
                      <a:ext cx="5486400" cy="2743200"/>
                    </a:xfrm>
                    <a:prstGeom prst="rect">
                      <a:avLst/>
                    </a:prstGeom>
                  </pic:spPr>
                </pic:pic>
              </a:graphicData>
            </a:graphic>
          </wp:inline>
        </w:drawing>
      </w:r>
    </w:p>
    <w:p w14:paraId="7611A4D1">
      <w:pPr>
        <w:rPr>
          <w:rStyle w:val="134"/>
          <w:rFonts w:hint="eastAsia"/>
          <w:b w:val="0"/>
          <w:bCs w:val="0"/>
          <w:lang w:val="en-US" w:eastAsia="zh-CN"/>
        </w:rPr>
      </w:pPr>
      <w:r>
        <w:rPr>
          <w:rStyle w:val="134"/>
          <w:rFonts w:hint="eastAsia"/>
          <w:b w:val="0"/>
          <w:bCs w:val="0"/>
          <w:lang w:val="en-US" w:eastAsia="zh-CN"/>
        </w:rPr>
        <w:drawing>
          <wp:inline distT="0" distB="0" distL="114300" distR="114300">
            <wp:extent cx="5486400" cy="2743200"/>
            <wp:effectExtent l="0" t="0" r="0" b="0"/>
            <wp:docPr id="21" name="图片 21" descr="bar_selectedMuts_gram_comp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bar_selectedMuts_gram_compare"/>
                    <pic:cNvPicPr>
                      <a:picLocks noChangeAspect="1"/>
                    </pic:cNvPicPr>
                  </pic:nvPicPr>
                  <pic:blipFill>
                    <a:blip r:embed="rId13"/>
                    <a:stretch>
                      <a:fillRect/>
                    </a:stretch>
                  </pic:blipFill>
                  <pic:spPr>
                    <a:xfrm>
                      <a:off x="0" y="0"/>
                      <a:ext cx="5486400" cy="2743200"/>
                    </a:xfrm>
                    <a:prstGeom prst="rect">
                      <a:avLst/>
                    </a:prstGeom>
                  </pic:spPr>
                </pic:pic>
              </a:graphicData>
            </a:graphic>
          </wp:inline>
        </w:drawing>
      </w:r>
    </w:p>
    <w:p w14:paraId="04FCD38E">
      <w:pPr>
        <w:rPr>
          <w:rStyle w:val="134"/>
          <w:rFonts w:hint="default" w:ascii="Times New Roman" w:hAnsi="Times New Roman" w:cs="Times New Roman"/>
          <w:b w:val="0"/>
          <w:bCs w:val="0"/>
          <w:sz w:val="21"/>
          <w:szCs w:val="21"/>
          <w:lang w:val="en-US" w:eastAsia="zh-CN"/>
        </w:rPr>
      </w:pPr>
      <w:r>
        <w:rPr>
          <w:rStyle w:val="134"/>
          <w:rFonts w:hint="default" w:ascii="Times New Roman" w:hAnsi="Times New Roman" w:cs="Times New Roman"/>
          <w:b w:val="0"/>
          <w:bCs w:val="0"/>
          <w:sz w:val="21"/>
          <w:szCs w:val="21"/>
          <w:lang w:val="en-US" w:eastAsia="zh-CN"/>
        </w:rPr>
        <w:t>Leveraging the highly recognized Gram-positive/-negative differentiation method, the authors further compared mutation patterns in the mid-high data by Gram staining group (Gram+/Gram–). They found that the two bacterial groups differed in their preferences at typical rpoB loci.</w:t>
      </w:r>
    </w:p>
    <w:p w14:paraId="6B29E297">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1"/>
          <w:szCs w:val="21"/>
        </w:rPr>
      </w:pPr>
      <w:r>
        <w:rPr>
          <w:rFonts w:hint="default" w:ascii="Times New Roman" w:hAnsi="Times New Roman" w:eastAsia="SimSun" w:cs="Times New Roman"/>
          <w:sz w:val="21"/>
          <w:szCs w:val="21"/>
        </w:rPr>
        <w:t>Most classical RRDR mutations (e.g., P564L, D516G, S531F) were enriched in Gram-negative species, whereas a few peripheral variants (S531L, Q148R) showed relative enrichment in Gram-positive taxa.</w:t>
      </w:r>
    </w:p>
    <w:p w14:paraId="64DC9D7D">
      <w:pPr>
        <w:keepNext w:val="0"/>
        <w:keepLines w:val="0"/>
        <w:widowControl/>
        <w:numPr>
          <w:ilvl w:val="0"/>
          <w:numId w:val="0"/>
        </w:numPr>
        <w:suppressLineNumbers w:val="0"/>
        <w:spacing w:before="0" w:beforeAutospacing="1" w:after="0" w:afterAutospacing="1"/>
        <w:rPr>
          <w:rFonts w:hint="default" w:ascii="Times New Roman" w:hAnsi="Times New Roman" w:eastAsia="SimSun" w:cs="Times New Roman"/>
          <w:sz w:val="21"/>
          <w:szCs w:val="21"/>
          <w:lang w:val="en-US" w:eastAsia="zh-CN"/>
        </w:rPr>
      </w:pPr>
      <w:r>
        <w:rPr>
          <w:rFonts w:hint="default" w:ascii="Times New Roman" w:hAnsi="Times New Roman" w:eastAsia="SimSun" w:cs="Times New Roman"/>
          <w:sz w:val="21"/>
          <w:szCs w:val="21"/>
        </w:rPr>
        <w:t>This suggests that Gram-negative species rely predominantly on canonical RRDR substitutions conferring strong resistance, whereas Gram-positive taxa accumulate peripheral or compensatory variants that may fine-tune rifampicin susceptibility with reduced fitness costs</w:t>
      </w:r>
      <w:r>
        <w:rPr>
          <w:rFonts w:hint="default" w:ascii="Times New Roman" w:hAnsi="Times New Roman" w:eastAsia="SimSun" w:cs="Times New Roman"/>
          <w:sz w:val="21"/>
          <w:szCs w:val="21"/>
          <w:lang w:val="en-US" w:eastAsia="zh-CN"/>
        </w:rPr>
        <w:t>.</w:t>
      </w:r>
    </w:p>
    <w:p w14:paraId="70C67C50">
      <w:pPr>
        <w:rPr>
          <w:rStyle w:val="134"/>
          <w:rFonts w:hint="default" w:ascii="Times New Roman" w:hAnsi="Times New Roman" w:cs="Times New Roman"/>
          <w:b w:val="0"/>
          <w:bCs w:val="0"/>
          <w:sz w:val="21"/>
          <w:szCs w:val="21"/>
          <w:lang w:val="en-US" w:eastAsia="zh-CN"/>
        </w:rPr>
      </w:pPr>
      <w:r>
        <w:rPr>
          <w:rStyle w:val="134"/>
          <w:rFonts w:hint="default" w:ascii="Times New Roman" w:hAnsi="Times New Roman" w:cs="Times New Roman"/>
          <w:b w:val="0"/>
          <w:bCs w:val="0"/>
          <w:sz w:val="21"/>
          <w:szCs w:val="21"/>
          <w:lang w:val="en-US" w:eastAsia="zh-CN"/>
        </w:rPr>
        <w:t>This grouping trend is consistent with the phylogenetic clustering reported by Bolourchi et al. (2025), indicating that mutational spectrum structure exhibits reproducible evolutionary clustering across species.</w:t>
      </w:r>
    </w:p>
    <w:p w14:paraId="198646D6"/>
    <w:p w14:paraId="20072F38">
      <w:pPr>
        <w:numPr>
          <w:ilvl w:val="0"/>
          <w:numId w:val="0"/>
        </w:numPr>
        <w:rPr>
          <w:rFonts w:hint="eastAsia" w:eastAsia="SimSun"/>
          <w:lang w:eastAsia="zh-CN"/>
        </w:rPr>
      </w:pPr>
      <w:r>
        <w:rPr>
          <w:rFonts w:hint="eastAsia" w:eastAsia="SimSun"/>
          <w:lang w:eastAsia="zh-CN"/>
        </w:rPr>
        <w:drawing>
          <wp:inline distT="0" distB="0" distL="114300" distR="114300">
            <wp:extent cx="5472430" cy="3283585"/>
            <wp:effectExtent l="0" t="0" r="13970" b="8255"/>
            <wp:docPr id="3" name="图片 3" descr="mutation_species_upset_midHigh_balanc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utation_species_upset_midHigh_balanced"/>
                    <pic:cNvPicPr>
                      <a:picLocks noChangeAspect="1"/>
                    </pic:cNvPicPr>
                  </pic:nvPicPr>
                  <pic:blipFill>
                    <a:blip r:embed="rId10"/>
                    <a:stretch>
                      <a:fillRect/>
                    </a:stretch>
                  </pic:blipFill>
                  <pic:spPr>
                    <a:xfrm>
                      <a:off x="0" y="0"/>
                      <a:ext cx="5472430" cy="3283585"/>
                    </a:xfrm>
                    <a:prstGeom prst="rect">
                      <a:avLst/>
                    </a:prstGeom>
                  </pic:spPr>
                </pic:pic>
              </a:graphicData>
            </a:graphic>
          </wp:inline>
        </w:drawing>
      </w:r>
    </w:p>
    <w:p w14:paraId="0183E48E">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4. Supervised Learning Results</w:t>
      </w:r>
    </w:p>
    <w:p w14:paraId="4CCBD43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05738400">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4.1 Overview of PU-learning framework</w:t>
      </w:r>
    </w:p>
    <w:p w14:paraId="14E02B25">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Briefly explain model, data, and Mask–then–Recover design.</w:t>
      </w:r>
    </w:p>
    <w:p w14:paraId="5058B1D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0D39F50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4.2 Model performance and recovery ability</w:t>
      </w:r>
    </w:p>
    <w:p w14:paraId="5962BE22">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Recall@K curves (Fig. X)</w:t>
      </w:r>
    </w:p>
    <w:p w14:paraId="6E12841B">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81320" cy="3323590"/>
            <wp:effectExtent l="0" t="0" r="5080" b="13970"/>
            <wp:docPr id="9" name="图片 9" descr="PU_RF_recall_a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PU_RF_recall_at_k"/>
                    <pic:cNvPicPr>
                      <a:picLocks noChangeAspect="1"/>
                    </pic:cNvPicPr>
                  </pic:nvPicPr>
                  <pic:blipFill>
                    <a:blip r:embed="rId14"/>
                    <a:stretch>
                      <a:fillRect/>
                    </a:stretch>
                  </pic:blipFill>
                  <pic:spPr>
                    <a:xfrm>
                      <a:off x="0" y="0"/>
                      <a:ext cx="5481320" cy="3323590"/>
                    </a:xfrm>
                    <a:prstGeom prst="rect">
                      <a:avLst/>
                    </a:prstGeom>
                  </pic:spPr>
                </pic:pic>
              </a:graphicData>
            </a:graphic>
          </wp:inline>
        </w:drawing>
      </w:r>
    </w:p>
    <w:tbl>
      <w:tblPr>
        <w:tblW w:w="876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2585"/>
        <w:gridCol w:w="2091"/>
        <w:gridCol w:w="1993"/>
        <w:gridCol w:w="2091"/>
      </w:tblGrid>
      <w:tr w14:paraId="3E64ABA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2585" w:type="dxa"/>
            <w:tcBorders>
              <w:top w:val="nil"/>
              <w:left w:val="nil"/>
              <w:bottom w:val="nil"/>
              <w:right w:val="nil"/>
            </w:tcBorders>
            <w:shd w:val="clear"/>
            <w:noWrap/>
            <w:vAlign w:val="center"/>
          </w:tcPr>
          <w:p w14:paraId="6071954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Species</w:t>
            </w:r>
          </w:p>
        </w:tc>
        <w:tc>
          <w:tcPr>
            <w:tcW w:w="2091" w:type="dxa"/>
            <w:tcBorders>
              <w:top w:val="nil"/>
              <w:left w:val="nil"/>
              <w:bottom w:val="nil"/>
              <w:right w:val="nil"/>
            </w:tcBorders>
            <w:shd w:val="clear"/>
            <w:noWrap/>
            <w:vAlign w:val="center"/>
          </w:tcPr>
          <w:p w14:paraId="1BA18F5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Masked</w:t>
            </w:r>
          </w:p>
        </w:tc>
        <w:tc>
          <w:tcPr>
            <w:tcW w:w="1993" w:type="dxa"/>
            <w:tcBorders>
              <w:top w:val="nil"/>
              <w:left w:val="nil"/>
              <w:bottom w:val="nil"/>
              <w:right w:val="nil"/>
            </w:tcBorders>
            <w:shd w:val="clear"/>
            <w:noWrap/>
            <w:vAlign w:val="center"/>
          </w:tcPr>
          <w:p w14:paraId="7BBE8E3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Unmasked_cf</w:t>
            </w:r>
          </w:p>
        </w:tc>
        <w:tc>
          <w:tcPr>
            <w:tcW w:w="2091" w:type="dxa"/>
            <w:tcBorders>
              <w:top w:val="nil"/>
              <w:left w:val="nil"/>
              <w:bottom w:val="nil"/>
              <w:right w:val="nil"/>
            </w:tcBorders>
            <w:shd w:val="clear"/>
            <w:noWrap/>
            <w:vAlign w:val="center"/>
          </w:tcPr>
          <w:p w14:paraId="5ACDB93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Delta</w:t>
            </w:r>
          </w:p>
        </w:tc>
      </w:tr>
      <w:tr w14:paraId="3E2B15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243EA3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Brucella abortus</w:t>
            </w:r>
          </w:p>
        </w:tc>
        <w:tc>
          <w:tcPr>
            <w:tcW w:w="0" w:type="auto"/>
            <w:tcBorders>
              <w:top w:val="nil"/>
              <w:left w:val="nil"/>
              <w:bottom w:val="nil"/>
              <w:right w:val="nil"/>
            </w:tcBorders>
            <w:shd w:val="clear"/>
            <w:noWrap/>
            <w:vAlign w:val="center"/>
          </w:tcPr>
          <w:p w14:paraId="2C6B512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0.16666666666666666</w:t>
            </w:r>
          </w:p>
        </w:tc>
        <w:tc>
          <w:tcPr>
            <w:tcW w:w="0" w:type="auto"/>
            <w:tcBorders>
              <w:top w:val="nil"/>
              <w:left w:val="nil"/>
              <w:bottom w:val="nil"/>
              <w:right w:val="nil"/>
            </w:tcBorders>
            <w:shd w:val="clear"/>
            <w:noWrap/>
            <w:vAlign w:val="center"/>
          </w:tcPr>
          <w:p w14:paraId="11566C9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1</w:t>
            </w:r>
          </w:p>
        </w:tc>
        <w:tc>
          <w:tcPr>
            <w:tcW w:w="0" w:type="auto"/>
            <w:tcBorders>
              <w:top w:val="nil"/>
              <w:left w:val="nil"/>
              <w:bottom w:val="nil"/>
              <w:right w:val="nil"/>
            </w:tcBorders>
            <w:shd w:val="clear"/>
            <w:noWrap/>
            <w:vAlign w:val="center"/>
          </w:tcPr>
          <w:p w14:paraId="30AC87F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0.8333333333333334</w:t>
            </w:r>
          </w:p>
        </w:tc>
      </w:tr>
      <w:tr w14:paraId="4E4054B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5436BB0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Listeria monocytogenes</w:t>
            </w:r>
          </w:p>
        </w:tc>
        <w:tc>
          <w:tcPr>
            <w:tcW w:w="0" w:type="auto"/>
            <w:tcBorders>
              <w:top w:val="nil"/>
              <w:left w:val="nil"/>
              <w:bottom w:val="nil"/>
              <w:right w:val="nil"/>
            </w:tcBorders>
            <w:shd w:val="clear"/>
            <w:noWrap/>
            <w:vAlign w:val="center"/>
          </w:tcPr>
          <w:p w14:paraId="514270E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0.1</w:t>
            </w:r>
          </w:p>
        </w:tc>
        <w:tc>
          <w:tcPr>
            <w:tcW w:w="0" w:type="auto"/>
            <w:tcBorders>
              <w:top w:val="nil"/>
              <w:left w:val="nil"/>
              <w:bottom w:val="nil"/>
              <w:right w:val="nil"/>
            </w:tcBorders>
            <w:shd w:val="clear"/>
            <w:noWrap/>
            <w:vAlign w:val="center"/>
          </w:tcPr>
          <w:p w14:paraId="3DC60FA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0.6733333333333333</w:t>
            </w:r>
          </w:p>
        </w:tc>
        <w:tc>
          <w:tcPr>
            <w:tcW w:w="0" w:type="auto"/>
            <w:tcBorders>
              <w:top w:val="nil"/>
              <w:left w:val="nil"/>
              <w:bottom w:val="nil"/>
              <w:right w:val="nil"/>
            </w:tcBorders>
            <w:shd w:val="clear"/>
            <w:noWrap/>
            <w:vAlign w:val="center"/>
          </w:tcPr>
          <w:p w14:paraId="34FE6EC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0.5733333333333334</w:t>
            </w:r>
          </w:p>
        </w:tc>
      </w:tr>
      <w:tr w14:paraId="2DD03E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E899BB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Brucella melitensis</w:t>
            </w:r>
          </w:p>
        </w:tc>
        <w:tc>
          <w:tcPr>
            <w:tcW w:w="0" w:type="auto"/>
            <w:tcBorders>
              <w:top w:val="nil"/>
              <w:left w:val="nil"/>
              <w:bottom w:val="nil"/>
              <w:right w:val="nil"/>
            </w:tcBorders>
            <w:shd w:val="clear"/>
            <w:noWrap/>
            <w:vAlign w:val="center"/>
          </w:tcPr>
          <w:p w14:paraId="10AE6367">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0.48</w:t>
            </w:r>
          </w:p>
        </w:tc>
        <w:tc>
          <w:tcPr>
            <w:tcW w:w="0" w:type="auto"/>
            <w:tcBorders>
              <w:top w:val="nil"/>
              <w:left w:val="nil"/>
              <w:bottom w:val="nil"/>
              <w:right w:val="nil"/>
            </w:tcBorders>
            <w:shd w:val="clear"/>
            <w:noWrap/>
            <w:vAlign w:val="center"/>
          </w:tcPr>
          <w:p w14:paraId="5CBFE7EB">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0.935</w:t>
            </w:r>
          </w:p>
        </w:tc>
        <w:tc>
          <w:tcPr>
            <w:tcW w:w="0" w:type="auto"/>
            <w:tcBorders>
              <w:top w:val="nil"/>
              <w:left w:val="nil"/>
              <w:bottom w:val="nil"/>
              <w:right w:val="nil"/>
            </w:tcBorders>
            <w:shd w:val="clear"/>
            <w:noWrap/>
            <w:vAlign w:val="center"/>
          </w:tcPr>
          <w:p w14:paraId="026BC54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0.45500000000000007</w:t>
            </w:r>
          </w:p>
        </w:tc>
      </w:tr>
      <w:tr w14:paraId="7AC9D9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68E3744D">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Helicobacter pylori ATCC</w:t>
            </w:r>
          </w:p>
        </w:tc>
        <w:tc>
          <w:tcPr>
            <w:tcW w:w="0" w:type="auto"/>
            <w:tcBorders>
              <w:top w:val="nil"/>
              <w:left w:val="nil"/>
              <w:bottom w:val="nil"/>
              <w:right w:val="nil"/>
            </w:tcBorders>
            <w:shd w:val="clear"/>
            <w:noWrap/>
            <w:vAlign w:val="center"/>
          </w:tcPr>
          <w:p w14:paraId="4A5A23C1">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0.43333333333333335</w:t>
            </w:r>
          </w:p>
        </w:tc>
        <w:tc>
          <w:tcPr>
            <w:tcW w:w="0" w:type="auto"/>
            <w:tcBorders>
              <w:top w:val="nil"/>
              <w:left w:val="nil"/>
              <w:bottom w:val="nil"/>
              <w:right w:val="nil"/>
            </w:tcBorders>
            <w:shd w:val="clear"/>
            <w:noWrap/>
            <w:vAlign w:val="center"/>
          </w:tcPr>
          <w:p w14:paraId="25EEE0F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0.8742063492063492</w:t>
            </w:r>
          </w:p>
        </w:tc>
        <w:tc>
          <w:tcPr>
            <w:tcW w:w="0" w:type="auto"/>
            <w:tcBorders>
              <w:top w:val="nil"/>
              <w:left w:val="nil"/>
              <w:bottom w:val="nil"/>
              <w:right w:val="nil"/>
            </w:tcBorders>
            <w:shd w:val="clear"/>
            <w:noWrap/>
            <w:vAlign w:val="center"/>
          </w:tcPr>
          <w:p w14:paraId="20B2B83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0.44087301587301586</w:t>
            </w:r>
          </w:p>
        </w:tc>
      </w:tr>
      <w:tr w14:paraId="49C70B8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697535B">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Neisseria meningitidis</w:t>
            </w:r>
          </w:p>
        </w:tc>
        <w:tc>
          <w:tcPr>
            <w:tcW w:w="0" w:type="auto"/>
            <w:tcBorders>
              <w:top w:val="nil"/>
              <w:left w:val="nil"/>
              <w:bottom w:val="nil"/>
              <w:right w:val="nil"/>
            </w:tcBorders>
            <w:shd w:val="clear"/>
            <w:noWrap/>
            <w:vAlign w:val="center"/>
          </w:tcPr>
          <w:p w14:paraId="3D0386A1">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0.5</w:t>
            </w:r>
          </w:p>
        </w:tc>
        <w:tc>
          <w:tcPr>
            <w:tcW w:w="0" w:type="auto"/>
            <w:tcBorders>
              <w:top w:val="nil"/>
              <w:left w:val="nil"/>
              <w:bottom w:val="nil"/>
              <w:right w:val="nil"/>
            </w:tcBorders>
            <w:shd w:val="clear"/>
            <w:noWrap/>
            <w:vAlign w:val="center"/>
          </w:tcPr>
          <w:p w14:paraId="792FBBC5">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0.9</w:t>
            </w:r>
          </w:p>
        </w:tc>
        <w:tc>
          <w:tcPr>
            <w:tcW w:w="0" w:type="auto"/>
            <w:tcBorders>
              <w:top w:val="nil"/>
              <w:left w:val="nil"/>
              <w:bottom w:val="nil"/>
              <w:right w:val="nil"/>
            </w:tcBorders>
            <w:shd w:val="clear"/>
            <w:noWrap/>
            <w:vAlign w:val="center"/>
          </w:tcPr>
          <w:p w14:paraId="52DE2135">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w:t>
            </w:r>
          </w:p>
        </w:tc>
      </w:tr>
    </w:tbl>
    <w:p w14:paraId="4E1CE9A9">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p>
    <w:p w14:paraId="5D13AAC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Interpretation: model generalizes well to resistance-associated mutations.</w:t>
      </w:r>
    </w:p>
    <w:p w14:paraId="3021A14C">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80685" cy="3039110"/>
            <wp:effectExtent l="0" t="0" r="5715" b="8890"/>
            <wp:docPr id="24" name="图片 24" descr="fig_top_species_mask_vs_unmask_K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fig_top_species_mask_vs_unmask_K20"/>
                    <pic:cNvPicPr>
                      <a:picLocks noChangeAspect="1"/>
                    </pic:cNvPicPr>
                  </pic:nvPicPr>
                  <pic:blipFill>
                    <a:blip r:embed="rId15"/>
                    <a:stretch>
                      <a:fillRect/>
                    </a:stretch>
                  </pic:blipFill>
                  <pic:spPr>
                    <a:xfrm>
                      <a:off x="0" y="0"/>
                      <a:ext cx="5480685" cy="3039110"/>
                    </a:xfrm>
                    <a:prstGeom prst="rect">
                      <a:avLst/>
                    </a:prstGeom>
                  </pic:spPr>
                </pic:pic>
              </a:graphicData>
            </a:graphic>
          </wp:inline>
        </w:drawing>
      </w:r>
    </w:p>
    <w:p w14:paraId="7C20E1C7">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4.3 Candidate prediction and novelty analysis</w:t>
      </w:r>
    </w:p>
    <w:p w14:paraId="3C07035E">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Probability distribution and novelty filtering (Fig. Y)</w:t>
      </w:r>
    </w:p>
    <w:p w14:paraId="0A6C9CD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Highlight representative novel sites (e.g., L533R, Q148R).</w:t>
      </w:r>
    </w:p>
    <w:p w14:paraId="25421E27">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79415" cy="3505200"/>
            <wp:effectExtent l="0" t="0" r="6985" b="0"/>
            <wp:docPr id="22" name="图片 22" descr="fig2_topk_by_species_bar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ig2_topk_by_species_bar_novel"/>
                    <pic:cNvPicPr>
                      <a:picLocks noChangeAspect="1"/>
                    </pic:cNvPicPr>
                  </pic:nvPicPr>
                  <pic:blipFill>
                    <a:blip r:embed="rId16"/>
                    <a:stretch>
                      <a:fillRect/>
                    </a:stretch>
                  </pic:blipFill>
                  <pic:spPr>
                    <a:xfrm>
                      <a:off x="0" y="0"/>
                      <a:ext cx="5479415" cy="3505200"/>
                    </a:xfrm>
                    <a:prstGeom prst="rect">
                      <a:avLst/>
                    </a:prstGeom>
                  </pic:spPr>
                </pic:pic>
              </a:graphicData>
            </a:graphic>
          </wp:inline>
        </w:drawing>
      </w:r>
    </w:p>
    <w:tbl>
      <w:tblPr>
        <w:tblW w:w="6480" w:type="dxa"/>
        <w:tblInd w:w="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1949"/>
        <w:gridCol w:w="949"/>
        <w:gridCol w:w="1416"/>
        <w:gridCol w:w="1482"/>
        <w:gridCol w:w="1482"/>
        <w:gridCol w:w="1482"/>
      </w:tblGrid>
      <w:tr w14:paraId="78661E1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PrEx>
        <w:trPr>
          <w:trHeight w:val="288" w:hRule="atLeast"/>
        </w:trPr>
        <w:tc>
          <w:tcPr>
            <w:tcW w:w="1080" w:type="dxa"/>
            <w:tcBorders>
              <w:top w:val="nil"/>
              <w:left w:val="nil"/>
              <w:bottom w:val="nil"/>
              <w:right w:val="nil"/>
            </w:tcBorders>
            <w:shd w:val="clear"/>
            <w:noWrap/>
            <w:vAlign w:val="center"/>
          </w:tcPr>
          <w:p w14:paraId="2D8FFC0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Species</w:t>
            </w:r>
          </w:p>
        </w:tc>
        <w:tc>
          <w:tcPr>
            <w:tcW w:w="1080" w:type="dxa"/>
            <w:tcBorders>
              <w:top w:val="nil"/>
              <w:left w:val="nil"/>
              <w:bottom w:val="nil"/>
              <w:right w:val="nil"/>
            </w:tcBorders>
            <w:shd w:val="clear"/>
            <w:noWrap/>
            <w:vAlign w:val="center"/>
          </w:tcPr>
          <w:p w14:paraId="7C01178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Novel_Count</w:t>
            </w:r>
          </w:p>
        </w:tc>
        <w:tc>
          <w:tcPr>
            <w:tcW w:w="1080" w:type="dxa"/>
            <w:tcBorders>
              <w:top w:val="nil"/>
              <w:left w:val="nil"/>
              <w:bottom w:val="nil"/>
              <w:right w:val="nil"/>
            </w:tcBorders>
            <w:shd w:val="clear"/>
            <w:noWrap/>
            <w:vAlign w:val="center"/>
          </w:tcPr>
          <w:p w14:paraId="3F5A119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Mean_Prob</w:t>
            </w:r>
          </w:p>
        </w:tc>
        <w:tc>
          <w:tcPr>
            <w:tcW w:w="1080" w:type="dxa"/>
            <w:tcBorders>
              <w:top w:val="nil"/>
              <w:left w:val="nil"/>
              <w:bottom w:val="nil"/>
              <w:right w:val="nil"/>
            </w:tcBorders>
            <w:shd w:val="clear"/>
            <w:noWrap/>
            <w:vAlign w:val="center"/>
          </w:tcPr>
          <w:p w14:paraId="51F397F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Candidate1_Mutation</w:t>
            </w:r>
          </w:p>
        </w:tc>
        <w:tc>
          <w:tcPr>
            <w:tcW w:w="1080" w:type="dxa"/>
            <w:tcBorders>
              <w:top w:val="nil"/>
              <w:left w:val="nil"/>
              <w:bottom w:val="nil"/>
              <w:right w:val="nil"/>
            </w:tcBorders>
            <w:shd w:val="clear"/>
            <w:noWrap/>
            <w:vAlign w:val="center"/>
          </w:tcPr>
          <w:p w14:paraId="430F7B9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Candidate2_Mutation</w:t>
            </w:r>
          </w:p>
        </w:tc>
        <w:tc>
          <w:tcPr>
            <w:tcW w:w="1080" w:type="dxa"/>
            <w:tcBorders>
              <w:top w:val="nil"/>
              <w:left w:val="nil"/>
              <w:bottom w:val="nil"/>
              <w:right w:val="nil"/>
            </w:tcBorders>
            <w:shd w:val="clear"/>
            <w:noWrap/>
            <w:vAlign w:val="center"/>
          </w:tcPr>
          <w:p w14:paraId="23C56AEF">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Candidate3_Mutation</w:t>
            </w:r>
          </w:p>
        </w:tc>
      </w:tr>
      <w:tr w14:paraId="769B60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603ADE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Deinococcus radiodurans</w:t>
            </w:r>
          </w:p>
        </w:tc>
        <w:tc>
          <w:tcPr>
            <w:tcW w:w="0" w:type="auto"/>
            <w:tcBorders>
              <w:top w:val="nil"/>
              <w:left w:val="nil"/>
              <w:bottom w:val="nil"/>
              <w:right w:val="nil"/>
            </w:tcBorders>
            <w:shd w:val="clear"/>
            <w:noWrap/>
            <w:vAlign w:val="center"/>
          </w:tcPr>
          <w:p w14:paraId="4E23E1D4">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08E42009">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0.748578812656373</w:t>
            </w:r>
          </w:p>
        </w:tc>
        <w:tc>
          <w:tcPr>
            <w:tcW w:w="0" w:type="auto"/>
            <w:tcBorders>
              <w:top w:val="nil"/>
              <w:left w:val="nil"/>
              <w:bottom w:val="nil"/>
              <w:right w:val="nil"/>
            </w:tcBorders>
            <w:shd w:val="clear"/>
            <w:noWrap/>
            <w:vAlign w:val="center"/>
          </w:tcPr>
          <w:p w14:paraId="5093E89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1D8EF24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rpoB_S512P</w:t>
            </w:r>
          </w:p>
        </w:tc>
        <w:tc>
          <w:tcPr>
            <w:tcW w:w="0" w:type="auto"/>
            <w:tcBorders>
              <w:top w:val="nil"/>
              <w:left w:val="nil"/>
              <w:bottom w:val="nil"/>
              <w:right w:val="nil"/>
            </w:tcBorders>
            <w:shd w:val="clear"/>
            <w:noWrap/>
            <w:vAlign w:val="center"/>
          </w:tcPr>
          <w:p w14:paraId="563744E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r>
      <w:tr w14:paraId="57544FB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3A53C7F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Staphylococcus aureus</w:t>
            </w:r>
          </w:p>
        </w:tc>
        <w:tc>
          <w:tcPr>
            <w:tcW w:w="0" w:type="auto"/>
            <w:tcBorders>
              <w:top w:val="nil"/>
              <w:left w:val="nil"/>
              <w:bottom w:val="nil"/>
              <w:right w:val="nil"/>
            </w:tcBorders>
            <w:shd w:val="clear"/>
            <w:noWrap/>
            <w:vAlign w:val="center"/>
          </w:tcPr>
          <w:p w14:paraId="2CE5FA4B">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07E51A9E">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0.6132635026502922</w:t>
            </w:r>
          </w:p>
        </w:tc>
        <w:tc>
          <w:tcPr>
            <w:tcW w:w="0" w:type="auto"/>
            <w:tcBorders>
              <w:top w:val="nil"/>
              <w:left w:val="nil"/>
              <w:bottom w:val="nil"/>
              <w:right w:val="nil"/>
            </w:tcBorders>
            <w:shd w:val="clear"/>
            <w:noWrap/>
            <w:vAlign w:val="center"/>
          </w:tcPr>
          <w:p w14:paraId="00750D8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0F14072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rpoB_S574Y</w:t>
            </w:r>
          </w:p>
        </w:tc>
        <w:tc>
          <w:tcPr>
            <w:tcW w:w="0" w:type="auto"/>
            <w:tcBorders>
              <w:top w:val="nil"/>
              <w:left w:val="nil"/>
              <w:bottom w:val="nil"/>
              <w:right w:val="nil"/>
            </w:tcBorders>
            <w:shd w:val="clear"/>
            <w:noWrap/>
            <w:vAlign w:val="center"/>
          </w:tcPr>
          <w:p w14:paraId="40B5239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r>
      <w:tr w14:paraId="7B4F474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795D4235">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Enterococcus faecium</w:t>
            </w:r>
          </w:p>
        </w:tc>
        <w:tc>
          <w:tcPr>
            <w:tcW w:w="0" w:type="auto"/>
            <w:tcBorders>
              <w:top w:val="nil"/>
              <w:left w:val="nil"/>
              <w:bottom w:val="nil"/>
              <w:right w:val="nil"/>
            </w:tcBorders>
            <w:shd w:val="clear"/>
            <w:noWrap/>
            <w:vAlign w:val="center"/>
          </w:tcPr>
          <w:p w14:paraId="7E908A3D">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463EA6F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0.5098281033263364</w:t>
            </w:r>
          </w:p>
        </w:tc>
        <w:tc>
          <w:tcPr>
            <w:tcW w:w="0" w:type="auto"/>
            <w:tcBorders>
              <w:top w:val="nil"/>
              <w:left w:val="nil"/>
              <w:bottom w:val="nil"/>
              <w:right w:val="nil"/>
            </w:tcBorders>
            <w:shd w:val="clear"/>
            <w:noWrap/>
            <w:vAlign w:val="center"/>
          </w:tcPr>
          <w:p w14:paraId="087C4EB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353B067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rpoB_S574Y</w:t>
            </w:r>
          </w:p>
        </w:tc>
        <w:tc>
          <w:tcPr>
            <w:tcW w:w="0" w:type="auto"/>
            <w:tcBorders>
              <w:top w:val="nil"/>
              <w:left w:val="nil"/>
              <w:bottom w:val="nil"/>
              <w:right w:val="nil"/>
            </w:tcBorders>
            <w:shd w:val="clear"/>
            <w:noWrap/>
            <w:vAlign w:val="center"/>
          </w:tcPr>
          <w:p w14:paraId="4D89EAFA">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rpoB_S574F</w:t>
            </w:r>
          </w:p>
        </w:tc>
      </w:tr>
      <w:tr w14:paraId="0E76504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7B9A9F84">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Streptomyces lividans</w:t>
            </w:r>
          </w:p>
        </w:tc>
        <w:tc>
          <w:tcPr>
            <w:tcW w:w="0" w:type="auto"/>
            <w:tcBorders>
              <w:top w:val="nil"/>
              <w:left w:val="nil"/>
              <w:bottom w:val="nil"/>
              <w:right w:val="nil"/>
            </w:tcBorders>
            <w:shd w:val="clear"/>
            <w:noWrap/>
            <w:vAlign w:val="center"/>
          </w:tcPr>
          <w:p w14:paraId="40D46A2A">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652C3333">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0.4192693982589603</w:t>
            </w:r>
          </w:p>
        </w:tc>
        <w:tc>
          <w:tcPr>
            <w:tcW w:w="0" w:type="auto"/>
            <w:tcBorders>
              <w:top w:val="nil"/>
              <w:left w:val="nil"/>
              <w:bottom w:val="nil"/>
              <w:right w:val="nil"/>
            </w:tcBorders>
            <w:shd w:val="clear"/>
            <w:noWrap/>
            <w:vAlign w:val="center"/>
          </w:tcPr>
          <w:p w14:paraId="0A9AB797">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32F1DE0C">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c>
          <w:tcPr>
            <w:tcW w:w="0" w:type="auto"/>
            <w:tcBorders>
              <w:top w:val="nil"/>
              <w:left w:val="nil"/>
              <w:bottom w:val="nil"/>
              <w:right w:val="nil"/>
            </w:tcBorders>
            <w:shd w:val="clear"/>
            <w:noWrap/>
            <w:vAlign w:val="center"/>
          </w:tcPr>
          <w:p w14:paraId="6EE915F8">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rpoB_L533H</w:t>
            </w:r>
          </w:p>
        </w:tc>
      </w:tr>
      <w:tr w14:paraId="416D03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288" w:hRule="atLeast"/>
        </w:trPr>
        <w:tc>
          <w:tcPr>
            <w:tcW w:w="0" w:type="auto"/>
            <w:tcBorders>
              <w:top w:val="nil"/>
              <w:left w:val="nil"/>
              <w:bottom w:val="nil"/>
              <w:right w:val="nil"/>
            </w:tcBorders>
            <w:shd w:val="clear"/>
            <w:noWrap/>
            <w:vAlign w:val="center"/>
          </w:tcPr>
          <w:p w14:paraId="18F2D66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Burkholderia vietnamiensis</w:t>
            </w:r>
          </w:p>
        </w:tc>
        <w:tc>
          <w:tcPr>
            <w:tcW w:w="0" w:type="auto"/>
            <w:tcBorders>
              <w:top w:val="nil"/>
              <w:left w:val="nil"/>
              <w:bottom w:val="nil"/>
              <w:right w:val="nil"/>
            </w:tcBorders>
            <w:shd w:val="clear"/>
            <w:noWrap/>
            <w:vAlign w:val="center"/>
          </w:tcPr>
          <w:p w14:paraId="2451FA82">
            <w:pPr>
              <w:keepNext w:val="0"/>
              <w:keepLines w:val="0"/>
              <w:widowControl/>
              <w:suppressLineNumbers w:val="0"/>
              <w:jc w:val="righ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8</w:t>
            </w:r>
          </w:p>
        </w:tc>
        <w:tc>
          <w:tcPr>
            <w:tcW w:w="0" w:type="auto"/>
            <w:tcBorders>
              <w:top w:val="nil"/>
              <w:left w:val="nil"/>
              <w:bottom w:val="nil"/>
              <w:right w:val="nil"/>
            </w:tcBorders>
            <w:shd w:val="clear"/>
            <w:noWrap/>
            <w:vAlign w:val="center"/>
          </w:tcPr>
          <w:p w14:paraId="4ECC50B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0.3989763259749059</w:t>
            </w:r>
          </w:p>
        </w:tc>
        <w:tc>
          <w:tcPr>
            <w:tcW w:w="0" w:type="auto"/>
            <w:tcBorders>
              <w:top w:val="nil"/>
              <w:left w:val="nil"/>
              <w:bottom w:val="nil"/>
              <w:right w:val="nil"/>
            </w:tcBorders>
            <w:shd w:val="clear"/>
            <w:noWrap/>
            <w:vAlign w:val="center"/>
          </w:tcPr>
          <w:p w14:paraId="4FA93736">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rpoB_Q148R</w:t>
            </w:r>
          </w:p>
        </w:tc>
        <w:tc>
          <w:tcPr>
            <w:tcW w:w="0" w:type="auto"/>
            <w:tcBorders>
              <w:top w:val="nil"/>
              <w:left w:val="nil"/>
              <w:bottom w:val="nil"/>
              <w:right w:val="nil"/>
            </w:tcBorders>
            <w:shd w:val="clear"/>
            <w:noWrap/>
            <w:vAlign w:val="center"/>
          </w:tcPr>
          <w:p w14:paraId="2544A9A0">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rpoB_S512F</w:t>
            </w:r>
          </w:p>
        </w:tc>
        <w:tc>
          <w:tcPr>
            <w:tcW w:w="0" w:type="auto"/>
            <w:tcBorders>
              <w:top w:val="nil"/>
              <w:left w:val="nil"/>
              <w:bottom w:val="nil"/>
              <w:right w:val="nil"/>
            </w:tcBorders>
            <w:shd w:val="clear"/>
            <w:noWrap/>
            <w:vAlign w:val="center"/>
          </w:tcPr>
          <w:p w14:paraId="7EAE6352">
            <w:pPr>
              <w:keepNext w:val="0"/>
              <w:keepLines w:val="0"/>
              <w:widowControl/>
              <w:suppressLineNumbers w:val="0"/>
              <w:jc w:val="left"/>
              <w:textAlignment w:val="center"/>
              <w:rPr>
                <w:rFonts w:hint="eastAsia" w:ascii="SimSun" w:hAnsi="SimSun" w:eastAsia="SimSun" w:cs="SimSun"/>
                <w:i w:val="0"/>
                <w:iCs w:val="0"/>
                <w:color w:val="000000"/>
                <w:sz w:val="22"/>
                <w:szCs w:val="22"/>
                <w:u w:val="none"/>
              </w:rPr>
            </w:pPr>
            <w:r>
              <w:rPr>
                <w:rFonts w:hint="eastAsia" w:ascii="SimSun" w:hAnsi="SimSun" w:eastAsia="SimSun" w:cs="SimSun"/>
                <w:i w:val="0"/>
                <w:iCs w:val="0"/>
                <w:color w:val="000000"/>
                <w:kern w:val="0"/>
                <w:sz w:val="22"/>
                <w:szCs w:val="22"/>
                <w:u w:val="none"/>
                <w:bdr w:val="none" w:color="auto" w:sz="0" w:space="0"/>
                <w:lang w:val="en-US" w:eastAsia="zh-CN" w:bidi="ar"/>
              </w:rPr>
              <w:t>rpoB_S512P</w:t>
            </w:r>
          </w:p>
        </w:tc>
      </w:tr>
    </w:tbl>
    <w:p w14:paraId="625E6671">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p>
    <w:p w14:paraId="04C2C9DF">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278000A6">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4.4 Species-level mutation prediction pattern</w:t>
      </w:r>
    </w:p>
    <w:p w14:paraId="6CDB64B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Heatmap showing predicted mutation profiles per species (Fig. Z)</w:t>
      </w:r>
    </w:p>
    <w:p w14:paraId="3DF2A526">
      <w:pPr>
        <w:keepNext w:val="0"/>
        <w:keepLines w:val="0"/>
        <w:widowControl/>
        <w:numPr>
          <w:ilvl w:val="0"/>
          <w:numId w:val="0"/>
        </w:numPr>
        <w:suppressLineNumbers w:val="0"/>
        <w:spacing w:before="0" w:beforeAutospacing="1" w:after="0" w:afterAutospacing="1"/>
        <w:rPr>
          <w:rFonts w:hint="eastAsia" w:ascii="SimSun" w:hAnsi="SimSun" w:eastAsia="SimSun" w:cs="SimSun"/>
          <w:sz w:val="24"/>
          <w:lang w:eastAsia="zh-CN"/>
        </w:rPr>
      </w:pPr>
      <w:r>
        <w:rPr>
          <w:rFonts w:hint="eastAsia" w:ascii="SimSun" w:hAnsi="SimSun" w:eastAsia="SimSun" w:cs="SimSun"/>
          <w:sz w:val="24"/>
          <w:lang w:eastAsia="zh-CN"/>
        </w:rPr>
        <w:drawing>
          <wp:inline distT="0" distB="0" distL="114300" distR="114300">
            <wp:extent cx="5476240" cy="3333115"/>
            <wp:effectExtent l="0" t="0" r="10160" b="4445"/>
            <wp:docPr id="23" name="图片 23" descr="fig3_heatmap_topN_per_species_no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fig3_heatmap_topN_per_species_novel"/>
                    <pic:cNvPicPr>
                      <a:picLocks noChangeAspect="1"/>
                    </pic:cNvPicPr>
                  </pic:nvPicPr>
                  <pic:blipFill>
                    <a:blip r:embed="rId17"/>
                    <a:stretch>
                      <a:fillRect/>
                    </a:stretch>
                  </pic:blipFill>
                  <pic:spPr>
                    <a:xfrm>
                      <a:off x="0" y="0"/>
                      <a:ext cx="5476240" cy="3333115"/>
                    </a:xfrm>
                    <a:prstGeom prst="rect">
                      <a:avLst/>
                    </a:prstGeom>
                  </pic:spPr>
                </pic:pic>
              </a:graphicData>
            </a:graphic>
          </wp:inline>
        </w:drawing>
      </w:r>
    </w:p>
    <w:p w14:paraId="0394BA3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p>
    <w:p w14:paraId="6A0E9CA9">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4.5 Biological interpretation</w:t>
      </w:r>
    </w:p>
    <w:p w14:paraId="02E93F1D">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Summarize Gram+/– divergence and functional implications.</w:t>
      </w:r>
    </w:p>
    <w:p w14:paraId="3E67CD93">
      <w:pPr>
        <w:keepNext w:val="0"/>
        <w:keepLines w:val="0"/>
        <w:widowControl/>
        <w:numPr>
          <w:ilvl w:val="0"/>
          <w:numId w:val="0"/>
        </w:numPr>
        <w:suppressLineNumbers w:val="0"/>
        <w:spacing w:before="0" w:beforeAutospacing="1" w:after="0" w:afterAutospacing="1"/>
        <w:rPr>
          <w:rFonts w:hint="eastAsia" w:ascii="SimSun" w:hAnsi="SimSun" w:eastAsia="SimSun" w:cs="SimSun"/>
          <w:sz w:val="24"/>
        </w:rPr>
      </w:pPr>
      <w:r>
        <w:rPr>
          <w:rFonts w:hint="eastAsia" w:ascii="SimSun" w:hAnsi="SimSun" w:eastAsia="SimSun" w:cs="SimSun"/>
          <w:sz w:val="24"/>
        </w:rPr>
        <w:t xml:space="preserve">   - Connect unsupervised and supervised findings.</w:t>
      </w:r>
    </w:p>
    <w:p w14:paraId="31C74273">
      <w:pPr>
        <w:keepNext w:val="0"/>
        <w:keepLines w:val="0"/>
        <w:widowControl/>
        <w:numPr>
          <w:ilvl w:val="0"/>
          <w:numId w:val="0"/>
        </w:numPr>
        <w:suppressLineNumbers w:val="0"/>
        <w:spacing w:before="0" w:beforeAutospacing="1" w:after="0" w:afterAutospacing="1"/>
        <w:rPr>
          <w:rFonts w:hint="eastAsia" w:eastAsia="SimSun"/>
          <w:lang w:eastAsia="zh-CN"/>
        </w:rPr>
      </w:pPr>
    </w:p>
    <w:p w14:paraId="0974A926">
      <w:pPr>
        <w:numPr>
          <w:ilvl w:val="0"/>
          <w:numId w:val="0"/>
        </w:numPr>
        <w:rPr>
          <w:rFonts w:hint="eastAsia" w:eastAsia="SimSun"/>
          <w:lang w:eastAsia="zh-CN"/>
        </w:rPr>
      </w:pPr>
    </w:p>
    <w:p w14:paraId="19052005">
      <w:pPr>
        <w:pStyle w:val="3"/>
        <w:numPr>
          <w:ilvl w:val="0"/>
          <w:numId w:val="9"/>
        </w:numPr>
        <w:spacing w:after="120" w:line="360" w:lineRule="auto"/>
        <w:ind w:left="0" w:leftChars="0" w:firstLine="0" w:firstLineChars="0"/>
        <w:rPr>
          <w:rFonts w:ascii="Times New Roman" w:hAnsi="Times New Roman"/>
          <w:sz w:val="24"/>
        </w:rPr>
      </w:pPr>
      <w:r>
        <w:rPr>
          <w:rFonts w:ascii="Times New Roman" w:hAnsi="Times New Roman"/>
          <w:sz w:val="24"/>
        </w:rPr>
        <w:t>Discussion</w:t>
      </w:r>
    </w:p>
    <w:p w14:paraId="3E316894">
      <w:pPr>
        <w:numPr>
          <w:ilvl w:val="0"/>
          <w:numId w:val="0"/>
        </w:numPr>
        <w:ind w:leftChars="0"/>
        <w:rPr>
          <w:rFonts w:hint="default" w:eastAsia="SimSun"/>
          <w:b/>
          <w:bCs/>
          <w:lang w:val="en-US" w:eastAsia="zh-CN"/>
        </w:rPr>
      </w:pPr>
      <w:r>
        <w:rPr>
          <w:rFonts w:hint="default" w:eastAsia="SimSun"/>
          <w:b/>
          <w:bCs/>
          <w:lang w:val="en-US" w:eastAsia="zh-CN"/>
        </w:rPr>
        <w:t>Can ASreview be optimized?</w:t>
      </w:r>
    </w:p>
    <w:p w14:paraId="722A995A">
      <w:pPr>
        <w:numPr>
          <w:ilvl w:val="0"/>
          <w:numId w:val="0"/>
        </w:numPr>
        <w:ind w:leftChars="0"/>
        <w:rPr>
          <w:rFonts w:hint="default" w:eastAsia="SimSun"/>
          <w:lang w:val="en-US" w:eastAsia="zh-CN"/>
        </w:rPr>
      </w:pPr>
    </w:p>
    <w:p w14:paraId="1ABA9EDF">
      <w:pPr>
        <w:numPr>
          <w:ilvl w:val="0"/>
          <w:numId w:val="0"/>
        </w:numPr>
        <w:ind w:leftChars="0"/>
        <w:rPr>
          <w:rFonts w:hint="default" w:eastAsia="SimSun"/>
          <w:lang w:val="en-US" w:eastAsia="zh-CN"/>
        </w:rPr>
      </w:pPr>
      <w:r>
        <w:rPr>
          <w:rFonts w:hint="default" w:eastAsia="SimSun"/>
          <w:lang w:val="en-US" w:eastAsia="zh-CN"/>
        </w:rPr>
        <w:t>Currently, ASreview does not offer batch automatic labeling, relying entirely on users to manually assign labels (relevant/irrelevant). Its AI algorithm is only used to rank recommended articles. Users must rely on ASreview's recall regression curve for the current project to determine whether to stop reading subsequent articles deemed "irrelevant." The author believes this process is still cumbersome and should be combined with a language understanding model to automatically perform all subsequent screening after a small amount of manual labeling, or to leave only a few "suspicious" articles for users to judge.</w:t>
      </w:r>
    </w:p>
    <w:p w14:paraId="6F2958FE">
      <w:pPr>
        <w:numPr>
          <w:ilvl w:val="0"/>
          <w:numId w:val="0"/>
        </w:numPr>
        <w:ind w:leftChars="0"/>
        <w:rPr>
          <w:rFonts w:hint="default" w:eastAsia="SimSun"/>
          <w:lang w:val="en-US" w:eastAsia="zh-CN"/>
        </w:rPr>
      </w:pPr>
    </w:p>
    <w:p w14:paraId="651B2AB1">
      <w:pPr>
        <w:numPr>
          <w:ilvl w:val="0"/>
          <w:numId w:val="0"/>
        </w:numPr>
        <w:ind w:leftChars="0"/>
        <w:rPr>
          <w:rFonts w:hint="default" w:eastAsia="SimSun"/>
          <w:b/>
          <w:bCs/>
          <w:lang w:val="en-US" w:eastAsia="zh-CN"/>
        </w:rPr>
      </w:pPr>
      <w:r>
        <w:rPr>
          <w:rFonts w:hint="default" w:eastAsia="SimSun"/>
          <w:b/>
          <w:bCs/>
          <w:lang w:val="en-US" w:eastAsia="zh-CN"/>
        </w:rPr>
        <w:t>Why are RIF mutation sites highly disproportionate in some species compared to others?</w:t>
      </w:r>
    </w:p>
    <w:p w14:paraId="10053C27">
      <w:pPr>
        <w:numPr>
          <w:ilvl w:val="0"/>
          <w:numId w:val="0"/>
        </w:numPr>
        <w:ind w:leftChars="0"/>
        <w:rPr>
          <w:rFonts w:hint="default" w:eastAsia="SimSun"/>
          <w:lang w:val="en-US" w:eastAsia="zh-CN"/>
        </w:rPr>
      </w:pPr>
    </w:p>
    <w:p w14:paraId="2348757B">
      <w:pPr>
        <w:numPr>
          <w:ilvl w:val="0"/>
          <w:numId w:val="0"/>
        </w:numPr>
        <w:ind w:leftChars="0"/>
        <w:rPr>
          <w:rFonts w:hint="default" w:eastAsia="SimSun"/>
          <w:lang w:val="en-US" w:eastAsia="zh-CN"/>
        </w:rPr>
      </w:pPr>
      <w:r>
        <w:rPr>
          <w:rFonts w:hint="default" w:eastAsia="SimSun"/>
          <w:lang w:val="en-US" w:eastAsia="zh-CN"/>
        </w:rPr>
        <w:t>Vibrio parahaemolyticus, V. vulnificus, Streptomyces lividans, Brucella suis &amp; Brucella melitensis</w:t>
      </w:r>
    </w:p>
    <w:p w14:paraId="7CF74F14">
      <w:pPr>
        <w:numPr>
          <w:ilvl w:val="0"/>
          <w:numId w:val="0"/>
        </w:numPr>
        <w:ind w:leftChars="0"/>
        <w:rPr>
          <w:rFonts w:hint="default" w:eastAsia="SimSun"/>
          <w:lang w:val="en-US" w:eastAsia="zh-CN"/>
        </w:rPr>
      </w:pPr>
    </w:p>
    <w:p w14:paraId="1D508A6A">
      <w:pPr>
        <w:numPr>
          <w:ilvl w:val="0"/>
          <w:numId w:val="0"/>
        </w:numPr>
        <w:ind w:leftChars="0"/>
        <w:rPr>
          <w:rFonts w:hint="default" w:eastAsia="SimSun"/>
          <w:lang w:val="en-US" w:eastAsia="zh-CN"/>
        </w:rPr>
      </w:pPr>
      <w:r>
        <w:rPr>
          <w:rFonts w:hint="default" w:eastAsia="SimSun"/>
          <w:lang w:val="en-US" w:eastAsia="zh-CN"/>
        </w:rPr>
        <w:t>In the PU-learning and mask and recall processes, how does masking affect the final prediction model?</w:t>
      </w:r>
    </w:p>
    <w:p w14:paraId="4D5400D7">
      <w:pPr>
        <w:numPr>
          <w:ilvl w:val="0"/>
          <w:numId w:val="0"/>
        </w:numPr>
        <w:ind w:leftChars="0"/>
        <w:rPr>
          <w:rFonts w:hint="default" w:eastAsia="SimSun"/>
          <w:lang w:val="en-US" w:eastAsia="zh-CN"/>
        </w:rPr>
      </w:pPr>
    </w:p>
    <w:p w14:paraId="071EBD6C">
      <w:pPr>
        <w:numPr>
          <w:ilvl w:val="0"/>
          <w:numId w:val="0"/>
        </w:numPr>
        <w:ind w:leftChars="0"/>
        <w:rPr>
          <w:rFonts w:hint="default" w:eastAsia="SimSun"/>
          <w:b/>
          <w:bCs/>
          <w:lang w:val="en-US" w:eastAsia="zh-CN"/>
        </w:rPr>
      </w:pPr>
      <w:r>
        <w:rPr>
          <w:rFonts w:hint="default" w:eastAsia="SimSun"/>
          <w:b/>
          <w:bCs/>
          <w:lang w:val="en-US" w:eastAsia="zh-CN"/>
        </w:rPr>
        <w:t>Is random masking the optimal approach?</w:t>
      </w:r>
    </w:p>
    <w:p w14:paraId="6293936C">
      <w:pPr>
        <w:numPr>
          <w:ilvl w:val="0"/>
          <w:numId w:val="0"/>
        </w:numPr>
        <w:ind w:leftChars="0"/>
        <w:rPr>
          <w:rFonts w:hint="default" w:eastAsia="SimSun"/>
          <w:lang w:val="en-US" w:eastAsia="zh-CN"/>
        </w:rPr>
      </w:pPr>
    </w:p>
    <w:p w14:paraId="0DAA852B">
      <w:pPr>
        <w:numPr>
          <w:ilvl w:val="0"/>
          <w:numId w:val="0"/>
        </w:numPr>
        <w:ind w:leftChars="0"/>
        <w:rPr>
          <w:rFonts w:hint="default" w:eastAsia="SimSun"/>
          <w:lang w:val="en-US" w:eastAsia="zh-CN"/>
        </w:rPr>
      </w:pPr>
      <w:r>
        <w:rPr>
          <w:rFonts w:hint="default" w:eastAsia="SimSun"/>
          <w:lang w:val="en-US" w:eastAsia="zh-CN"/>
        </w:rPr>
        <w:t>Can ASreview's recommendation prioritization or other language vocabulary analysis models be combined to perform high-value, targeted masking?</w:t>
      </w:r>
    </w:p>
    <w:p w14:paraId="45D4A171">
      <w:pPr>
        <w:numPr>
          <w:ilvl w:val="0"/>
          <w:numId w:val="0"/>
        </w:numPr>
        <w:ind w:leftChars="0"/>
        <w:rPr>
          <w:rFonts w:hint="default" w:eastAsia="SimSun"/>
          <w:lang w:val="en-US" w:eastAsia="zh-CN"/>
        </w:rPr>
      </w:pPr>
    </w:p>
    <w:p w14:paraId="51B4E062">
      <w:pPr>
        <w:numPr>
          <w:ilvl w:val="0"/>
          <w:numId w:val="0"/>
        </w:numPr>
        <w:ind w:leftChars="0"/>
        <w:rPr>
          <w:rFonts w:hint="default" w:eastAsia="SimSun"/>
          <w:b/>
          <w:bCs/>
          <w:lang w:val="en-US" w:eastAsia="zh-CN"/>
        </w:rPr>
      </w:pPr>
      <w:r>
        <w:rPr>
          <w:rFonts w:hint="default" w:eastAsia="SimSun"/>
          <w:b/>
          <w:bCs/>
          <w:lang w:val="en-US" w:eastAsia="zh-CN"/>
        </w:rPr>
        <w:t>Are the final predictions too credible?</w:t>
      </w:r>
    </w:p>
    <w:p w14:paraId="5A6B855F">
      <w:pPr>
        <w:pStyle w:val="3"/>
        <w:spacing w:after="120" w:line="360" w:lineRule="auto"/>
      </w:pPr>
      <w:r>
        <w:rPr>
          <w:rFonts w:ascii="Times New Roman" w:hAnsi="Times New Roman"/>
          <w:sz w:val="24"/>
        </w:rPr>
        <w:t>5. Conclusions</w:t>
      </w:r>
    </w:p>
    <w:p w14:paraId="169BD381">
      <w:pPr>
        <w:spacing w:after="120" w:line="360" w:lineRule="auto"/>
      </w:pPr>
      <w:r>
        <w:rPr>
          <w:rFonts w:ascii="Times New Roman" w:hAnsi="Times New Roman"/>
          <w:sz w:val="24"/>
        </w:rPr>
        <w:t>Summarize the most significant findings and their implications. State whether the research aims were achieved and highlight potential applications or follow-up studies.</w:t>
      </w:r>
    </w:p>
    <w:p w14:paraId="7E8B4EB4">
      <w:pPr>
        <w:pStyle w:val="3"/>
        <w:spacing w:after="120" w:line="360" w:lineRule="auto"/>
      </w:pPr>
      <w:r>
        <w:rPr>
          <w:rFonts w:ascii="Times New Roman" w:hAnsi="Times New Roman"/>
          <w:sz w:val="24"/>
        </w:rPr>
        <w:t>6. References</w:t>
      </w:r>
    </w:p>
    <w:p w14:paraId="708FBF0D">
      <w:pPr>
        <w:spacing w:after="120" w:line="360" w:lineRule="auto"/>
        <w:rPr>
          <w:rFonts w:ascii="Times New Roman" w:hAnsi="Times New Roman"/>
          <w:sz w:val="24"/>
        </w:rPr>
      </w:pPr>
      <w:r>
        <w:rPr>
          <w:rFonts w:ascii="Times New Roman" w:hAnsi="Times New Roman"/>
          <w:sz w:val="24"/>
        </w:rPr>
        <w:t>All cited literature should appear here in a consistent referencing style (APA, Harvard, or a scientific journal format). Example:</w:t>
      </w:r>
      <w:r>
        <w:rPr>
          <w:rFonts w:ascii="Times New Roman" w:hAnsi="Times New Roman"/>
          <w:sz w:val="24"/>
        </w:rPr>
        <w:br w:type="textWrapping"/>
      </w:r>
      <w:r>
        <w:rPr>
          <w:rFonts w:ascii="Times New Roman" w:hAnsi="Times New Roman"/>
          <w:sz w:val="24"/>
        </w:rPr>
        <w:t>Foster, L., Mouse, M., &amp; Christ, J. (1972). The effect of hypoxia on free divers. J. Irrep. Res., 23, 490–512.</w:t>
      </w:r>
    </w:p>
    <w:p w14:paraId="0A8AEAD7">
      <w:pPr>
        <w:spacing w:after="120" w:line="360" w:lineRule="auto"/>
        <w:rPr>
          <w:rFonts w:ascii="SimSun" w:hAnsi="SimSun" w:eastAsia="SimSun" w:cs="SimSun"/>
          <w:sz w:val="24"/>
          <w:szCs w:val="24"/>
        </w:rPr>
      </w:pPr>
      <w:r>
        <w:rPr>
          <w:rFonts w:ascii="SimSun" w:hAnsi="SimSun" w:eastAsia="SimSun" w:cs="SimSun"/>
          <w:sz w:val="24"/>
          <w:szCs w:val="24"/>
        </w:rPr>
        <w:t>Federal Funding for the Study of Antimicrobial Resistance in Nosocomial Pathogens: No ESKAPE — Louis B. Rice，</w:t>
      </w:r>
      <w:r>
        <w:rPr>
          <w:rStyle w:val="135"/>
          <w:rFonts w:ascii="SimSun" w:hAnsi="SimSun" w:eastAsia="SimSun" w:cs="SimSun"/>
          <w:sz w:val="24"/>
          <w:szCs w:val="24"/>
        </w:rPr>
        <w:t>The Journal of Infectious Diseases</w:t>
      </w:r>
      <w:r>
        <w:rPr>
          <w:rFonts w:ascii="SimSun" w:hAnsi="SimSun" w:eastAsia="SimSun" w:cs="SimSun"/>
          <w:sz w:val="24"/>
          <w:szCs w:val="24"/>
        </w:rPr>
        <w:t>, 2008, 197(8): 1079–1081</w:t>
      </w:r>
    </w:p>
    <w:p w14:paraId="2DA3373E">
      <w:pPr>
        <w:spacing w:after="120" w:line="360" w:lineRule="auto"/>
        <w:rPr>
          <w:rFonts w:hint="default" w:ascii="SimSun" w:hAnsi="SimSun" w:eastAsia="SimSun" w:cs="SimSun"/>
          <w:sz w:val="24"/>
          <w:szCs w:val="24"/>
        </w:rPr>
      </w:pPr>
    </w:p>
    <w:p w14:paraId="65980A9D">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WHO. Guidelines for the diagnosis, treatment and prevention of leprosy (2018). </w:t>
      </w:r>
    </w:p>
    <w:p w14:paraId="677D28D7">
      <w:pPr>
        <w:spacing w:after="120" w:line="360" w:lineRule="auto"/>
        <w:rPr>
          <w:rFonts w:hint="default" w:ascii="SimSun" w:hAnsi="SimSun" w:eastAsia="SimSun" w:cs="SimSun"/>
          <w:sz w:val="24"/>
          <w:szCs w:val="24"/>
        </w:rPr>
      </w:pPr>
    </w:p>
    <w:p w14:paraId="3EC4D96B">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Sivakumaran P, Barros Bd, Antonio Dias VL, Lockwood DN, Walker SL. “A retrospective cohort study of monthly rifampicin, ofloxacin and minocycline in the management of leprosy…” PLoS Neglected Tropical Diseases (2024). </w:t>
      </w:r>
    </w:p>
    <w:p w14:paraId="0E528DCD">
      <w:pPr>
        <w:spacing w:after="120" w:line="360" w:lineRule="auto"/>
        <w:rPr>
          <w:rFonts w:hint="default" w:ascii="SimSun" w:hAnsi="SimSun" w:eastAsia="SimSun" w:cs="SimSun"/>
          <w:sz w:val="24"/>
          <w:szCs w:val="24"/>
        </w:rPr>
      </w:pPr>
    </w:p>
    <w:p w14:paraId="7AC07D58">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Pupaibool J. “The Role of Rifampin in Prosthetic Joint Infections: Efficacy, Challenges, and Clinical Evidence.” Antibiotics 13(12):1223 (2024). </w:t>
      </w:r>
    </w:p>
    <w:p w14:paraId="38C05B97">
      <w:pPr>
        <w:spacing w:after="120" w:line="360" w:lineRule="auto"/>
        <w:rPr>
          <w:rFonts w:hint="default" w:ascii="SimSun" w:hAnsi="SimSun" w:eastAsia="SimSun" w:cs="SimSun"/>
          <w:sz w:val="24"/>
          <w:szCs w:val="24"/>
        </w:rPr>
      </w:pPr>
    </w:p>
    <w:p w14:paraId="76456F16">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Karlsen Ø et al. “Rifampin combination therapy in staphylococcal prosthetic joint infections: a randomized controlled trial.” J Orthopaedic Surgery and Research 15:365 (2020). </w:t>
      </w:r>
    </w:p>
    <w:p w14:paraId="5C9F01F4">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Zhao L-L, Wan K-L. rpoB mutations and effects on rifampin resistance. Infect Drug Resist. 2020;13:2599-2610. DOI: 10.2147/IDR.S283855. </w:t>
      </w:r>
    </w:p>
    <w:p w14:paraId="620852F9">
      <w:pPr>
        <w:spacing w:after="120" w:line="360" w:lineRule="auto"/>
        <w:rPr>
          <w:rFonts w:hint="default" w:ascii="SimSun" w:hAnsi="SimSun" w:eastAsia="SimSun" w:cs="SimSun"/>
          <w:sz w:val="24"/>
          <w:szCs w:val="24"/>
        </w:rPr>
      </w:pPr>
    </w:p>
    <w:p w14:paraId="04FB04DC">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Das A, et al. The Structural Basis of Mycobacterium tuberculosis RpoB Drug-Resistant Clinical Mutations on Rifampicin Drug Binding. Molecules. 2020;27(3):885. DOI: 10.3390/molecules27030885. </w:t>
      </w:r>
    </w:p>
    <w:p w14:paraId="2B7208AA">
      <w:pPr>
        <w:spacing w:after="120" w:line="360" w:lineRule="auto"/>
        <w:rPr>
          <w:rFonts w:hint="default" w:ascii="SimSun" w:hAnsi="SimSun" w:eastAsia="SimSun" w:cs="SimSun"/>
          <w:sz w:val="24"/>
          <w:szCs w:val="24"/>
        </w:rPr>
      </w:pPr>
    </w:p>
    <w:p w14:paraId="303B548A">
      <w:pPr>
        <w:spacing w:after="120" w:line="360" w:lineRule="auto"/>
        <w:rPr>
          <w:rFonts w:hint="default" w:ascii="SimSun" w:hAnsi="SimSun" w:eastAsia="SimSun" w:cs="SimSun"/>
          <w:sz w:val="24"/>
          <w:szCs w:val="24"/>
        </w:rPr>
      </w:pPr>
      <w:r>
        <w:rPr>
          <w:rFonts w:hint="default" w:ascii="SimSun" w:hAnsi="SimSun" w:eastAsia="SimSun" w:cs="SimSun"/>
          <w:sz w:val="24"/>
          <w:szCs w:val="24"/>
        </w:rPr>
        <w:t xml:space="preserve">Helmann JD, et al. Mutations in rpoB That Confer Rifampicin Resistance Can Alter Levels of Peptidoglycan Precursors and Affect β-Lactam Susceptibility. mBio. 2023;14(1):e03168-22. DOI: 10.1128/mbio.03168-22. </w:t>
      </w:r>
    </w:p>
    <w:p w14:paraId="01FBF828">
      <w:pPr>
        <w:spacing w:after="120" w:line="360" w:lineRule="auto"/>
        <w:rPr>
          <w:rFonts w:hint="default" w:ascii="SimSun" w:hAnsi="SimSun" w:eastAsia="SimSun" w:cs="SimSun"/>
          <w:sz w:val="24"/>
          <w:szCs w:val="24"/>
        </w:rPr>
      </w:pPr>
    </w:p>
    <w:p w14:paraId="30483FC0">
      <w:pPr>
        <w:spacing w:after="120" w:line="360" w:lineRule="auto"/>
        <w:rPr>
          <w:rFonts w:hint="default" w:ascii="SimSun" w:hAnsi="SimSun" w:eastAsia="SimSun" w:cs="SimSun"/>
          <w:sz w:val="24"/>
          <w:szCs w:val="24"/>
        </w:rPr>
      </w:pPr>
      <w:r>
        <w:rPr>
          <w:rFonts w:hint="default" w:ascii="SimSun" w:hAnsi="SimSun" w:eastAsia="SimSun" w:cs="SimSun"/>
          <w:sz w:val="24"/>
          <w:szCs w:val="24"/>
        </w:rPr>
        <w:t>“Consensus numbering system for the rifampicin resistance-associated rpoB gene mutations in pathogenic mycobacteria.” Clin Microbiol Infect. 2016;22(11):981-986. DOI: (article)</w:t>
      </w:r>
    </w:p>
    <w:p w14:paraId="2AB551F1">
      <w:pPr>
        <w:pStyle w:val="3"/>
        <w:spacing w:after="120" w:line="360" w:lineRule="auto"/>
      </w:pPr>
      <w:r>
        <w:rPr>
          <w:rFonts w:ascii="Times New Roman" w:hAnsi="Times New Roman"/>
          <w:sz w:val="24"/>
        </w:rPr>
        <w:t>7. Figures and Tables</w:t>
      </w:r>
    </w:p>
    <w:p w14:paraId="21199B22">
      <w:pPr>
        <w:spacing w:after="120" w:line="360" w:lineRule="auto"/>
      </w:pPr>
      <w:r>
        <w:rPr>
          <w:rFonts w:ascii="Times New Roman" w:hAnsi="Times New Roman"/>
          <w:sz w:val="24"/>
        </w:rPr>
        <w:t>All figures and tables should be labeled and inserted close to where they are first mentioned in the text. Each figure should include a descriptive caption below, while tables should have a title above.</w:t>
      </w:r>
    </w:p>
    <w:p w14:paraId="2955ED66">
      <w:pPr>
        <w:pStyle w:val="3"/>
        <w:spacing w:after="120" w:line="360" w:lineRule="auto"/>
      </w:pPr>
      <w:r>
        <w:rPr>
          <w:rFonts w:ascii="Times New Roman" w:hAnsi="Times New Roman"/>
          <w:sz w:val="24"/>
        </w:rPr>
        <w:t>8. Appendices</w:t>
      </w:r>
    </w:p>
    <w:p w14:paraId="2A8CD68C">
      <w:pPr>
        <w:spacing w:after="120" w:line="360" w:lineRule="auto"/>
      </w:pPr>
      <w:r>
        <w:rPr>
          <w:rFonts w:ascii="Times New Roman" w:hAnsi="Times New Roman"/>
          <w:sz w:val="24"/>
        </w:rPr>
        <w:t>Include any supplementary materials, extended data tables, code snippets, or detailed methodology not essential to the main text.</w:t>
      </w:r>
    </w:p>
    <w:sectPr>
      <w:pgSz w:w="12240" w:h="15840"/>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ＭＳ 明朝">
    <w:altName w:val="Yu Gothic"/>
    <w:panose1 w:val="00000000000000000000"/>
    <w:charset w:val="80"/>
    <w:family w:val="roman"/>
    <w:pitch w:val="default"/>
    <w:sig w:usb0="00000000" w:usb1="00000000" w:usb2="00000010" w:usb3="00000000" w:csb0="00020000" w:csb1="00000000"/>
  </w:font>
  <w:font w:name="Yu Gothic">
    <w:panose1 w:val="020B0400000000000000"/>
    <w:charset w:val="80"/>
    <w:family w:val="auto"/>
    <w:pitch w:val="default"/>
    <w:sig w:usb0="E00002FF" w:usb1="2AC7FDFF" w:usb2="00000016" w:usb3="00000000" w:csb0="2002009F" w:csb1="00000000"/>
  </w:font>
  <w:font w:name="MS Gothic">
    <w:panose1 w:val="020B0609070205080204"/>
    <w:charset w:val="80"/>
    <w:family w:val="auto"/>
    <w:pitch w:val="default"/>
    <w:sig w:usb0="E00002FF" w:usb1="6AC7FDFB" w:usb2="08000012" w:usb3="00000000" w:csb0="4002009F" w:csb1="DFD70000"/>
  </w:font>
  <w:font w:name="Courier">
    <w:altName w:val="Courier New"/>
    <w:panose1 w:val="02000500000000000000"/>
    <w:charset w:val="00"/>
    <w:family w:val="auto"/>
    <w:pitch w:val="default"/>
    <w:sig w:usb0="00000000" w:usb1="00000000" w:usb2="00000000" w:usb3="00000000" w:csb0="00000001" w:csb1="0000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MS PGothic">
    <w:panose1 w:val="020B0600070205080204"/>
    <w:charset w:val="80"/>
    <w:family w:val="auto"/>
    <w:pitch w:val="default"/>
    <w:sig w:usb0="E00002FF" w:usb1="6AC7FDFB" w:usb2="08000012" w:usb3="00000000" w:csb0="4002009F" w:csb1="DFD70000"/>
  </w:font>
  <w:font w:name="Symbol">
    <w:panose1 w:val="05050102010706020507"/>
    <w:charset w:val="00"/>
    <w:family w:val="auto"/>
    <w:pitch w:val="default"/>
    <w:sig w:usb0="00000000" w:usb1="00000000" w:usb2="00000000" w:usb3="00000000" w:csb0="80000000" w:csb1="00000000"/>
  </w:font>
  <w:font w:name="DengXian">
    <w:panose1 w:val="02010600030101010101"/>
    <w:charset w:val="86"/>
    <w:family w:val="auto"/>
    <w:pitch w:val="default"/>
    <w:sig w:usb0="A00002BF" w:usb1="38CF7CFA" w:usb2="00000016" w:usb3="00000000" w:csb0="0004000F"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 w:name="Gulim">
    <w:panose1 w:val="020B0600000101010101"/>
    <w:charset w:val="81"/>
    <w:family w:val="auto"/>
    <w:pitch w:val="default"/>
    <w:sig w:usb0="B00002AF" w:usb1="69D77CFB" w:usb2="00000030" w:usb3="00000000" w:csb0="4008009F" w:csb1="DFD70000"/>
  </w:font>
  <w:font w:name="Cambria Math">
    <w:panose1 w:val="02040503050406030204"/>
    <w:charset w:val="00"/>
    <w:family w:val="auto"/>
    <w:pitch w:val="default"/>
    <w:sig w:usb0="E00006FF" w:usb1="420024FF" w:usb2="02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6F4984"/>
    <w:multiLevelType w:val="singleLevel"/>
    <w:tmpl w:val="A36F4984"/>
    <w:lvl w:ilvl="0" w:tentative="0">
      <w:start w:val="2"/>
      <w:numFmt w:val="decimal"/>
      <w:suff w:val="space"/>
      <w:lvlText w:val="%1."/>
      <w:lvlJc w:val="left"/>
    </w:lvl>
  </w:abstractNum>
  <w:abstractNum w:abstractNumId="1">
    <w:nsid w:val="CF91F0B1"/>
    <w:multiLevelType w:val="singleLevel"/>
    <w:tmpl w:val="CF91F0B1"/>
    <w:lvl w:ilvl="0" w:tentative="0">
      <w:start w:val="1"/>
      <w:numFmt w:val="decimal"/>
      <w:suff w:val="space"/>
      <w:lvlText w:val="%1."/>
      <w:lvlJc w:val="left"/>
    </w:lvl>
  </w:abstractNum>
  <w:abstractNum w:abstractNumId="2">
    <w:nsid w:val="FFFFFF7E"/>
    <w:multiLevelType w:val="singleLevel"/>
    <w:tmpl w:val="FFFFFF7E"/>
    <w:lvl w:ilvl="0" w:tentative="0">
      <w:start w:val="1"/>
      <w:numFmt w:val="decimal"/>
      <w:pStyle w:val="20"/>
      <w:lvlText w:val="%1."/>
      <w:lvlJc w:val="left"/>
      <w:pPr>
        <w:tabs>
          <w:tab w:val="left" w:pos="1080"/>
        </w:tabs>
        <w:ind w:left="1080" w:hanging="360"/>
      </w:pPr>
    </w:lvl>
  </w:abstractNum>
  <w:abstractNum w:abstractNumId="3">
    <w:nsid w:val="FFFFFF7F"/>
    <w:multiLevelType w:val="singleLevel"/>
    <w:tmpl w:val="FFFFFF7F"/>
    <w:lvl w:ilvl="0" w:tentative="0">
      <w:start w:val="1"/>
      <w:numFmt w:val="decimal"/>
      <w:pStyle w:val="13"/>
      <w:lvlText w:val="%1."/>
      <w:lvlJc w:val="left"/>
      <w:pPr>
        <w:tabs>
          <w:tab w:val="left" w:pos="720"/>
        </w:tabs>
        <w:ind w:left="720" w:hanging="360"/>
      </w:pPr>
    </w:lvl>
  </w:abstractNum>
  <w:abstractNum w:abstractNumId="4">
    <w:nsid w:val="FFFFFF82"/>
    <w:multiLevelType w:val="singleLevel"/>
    <w:tmpl w:val="FFFFFF82"/>
    <w:lvl w:ilvl="0" w:tentative="0">
      <w:start w:val="1"/>
      <w:numFmt w:val="bullet"/>
      <w:pStyle w:val="18"/>
      <w:lvlText w:val=""/>
      <w:lvlJc w:val="left"/>
      <w:pPr>
        <w:tabs>
          <w:tab w:val="left" w:pos="1080"/>
        </w:tabs>
        <w:ind w:left="1080" w:hanging="360"/>
      </w:pPr>
      <w:rPr>
        <w:rFonts w:hint="default" w:ascii="Symbol" w:hAnsi="Symbol"/>
      </w:rPr>
    </w:lvl>
  </w:abstractNum>
  <w:abstractNum w:abstractNumId="5">
    <w:nsid w:val="FFFFFF83"/>
    <w:multiLevelType w:val="singleLevel"/>
    <w:tmpl w:val="FFFFFF83"/>
    <w:lvl w:ilvl="0" w:tentative="0">
      <w:start w:val="1"/>
      <w:numFmt w:val="bullet"/>
      <w:pStyle w:val="23"/>
      <w:lvlText w:val=""/>
      <w:lvlJc w:val="left"/>
      <w:pPr>
        <w:tabs>
          <w:tab w:val="left" w:pos="720"/>
        </w:tabs>
        <w:ind w:left="720" w:hanging="360"/>
      </w:pPr>
      <w:rPr>
        <w:rFonts w:hint="default" w:ascii="Symbol" w:hAnsi="Symbol"/>
      </w:rPr>
    </w:lvl>
  </w:abstractNum>
  <w:abstractNum w:abstractNumId="6">
    <w:nsid w:val="FFFFFF88"/>
    <w:multiLevelType w:val="singleLevel"/>
    <w:tmpl w:val="FFFFFF88"/>
    <w:lvl w:ilvl="0" w:tentative="0">
      <w:start w:val="1"/>
      <w:numFmt w:val="decimal"/>
      <w:pStyle w:val="14"/>
      <w:lvlText w:val="%1."/>
      <w:lvlJc w:val="left"/>
      <w:pPr>
        <w:tabs>
          <w:tab w:val="left" w:pos="360"/>
        </w:tabs>
        <w:ind w:left="360" w:hanging="360"/>
      </w:pPr>
    </w:lvl>
  </w:abstractNum>
  <w:abstractNum w:abstractNumId="7">
    <w:nsid w:val="FFFFFF89"/>
    <w:multiLevelType w:val="singleLevel"/>
    <w:tmpl w:val="FFFFFF89"/>
    <w:lvl w:ilvl="0" w:tentative="0">
      <w:start w:val="1"/>
      <w:numFmt w:val="bullet"/>
      <w:pStyle w:val="16"/>
      <w:lvlText w:val=""/>
      <w:lvlJc w:val="left"/>
      <w:pPr>
        <w:tabs>
          <w:tab w:val="left" w:pos="360"/>
        </w:tabs>
        <w:ind w:left="360" w:hanging="360"/>
      </w:pPr>
      <w:rPr>
        <w:rFonts w:hint="default" w:ascii="Symbol" w:hAnsi="Symbol"/>
      </w:rPr>
    </w:lvl>
  </w:abstractNum>
  <w:abstractNum w:abstractNumId="8">
    <w:nsid w:val="0BF60811"/>
    <w:multiLevelType w:val="singleLevel"/>
    <w:tmpl w:val="0BF60811"/>
    <w:lvl w:ilvl="0" w:tentative="0">
      <w:start w:val="3"/>
      <w:numFmt w:val="decimal"/>
      <w:suff w:val="space"/>
      <w:lvlText w:val="%1."/>
      <w:lvlJc w:val="left"/>
    </w:lvl>
  </w:abstractNum>
  <w:num w:numId="1">
    <w:abstractNumId w:val="3"/>
  </w:num>
  <w:num w:numId="2">
    <w:abstractNumId w:val="6"/>
  </w:num>
  <w:num w:numId="3">
    <w:abstractNumId w:val="7"/>
  </w:num>
  <w:num w:numId="4">
    <w:abstractNumId w:val="4"/>
  </w:num>
  <w:num w:numId="5">
    <w:abstractNumId w:val="2"/>
  </w:num>
  <w:num w:numId="6">
    <w:abstractNumId w:val="5"/>
  </w:num>
  <w:num w:numId="7">
    <w:abstractNumId w:val="1"/>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 w:val="028D2A37"/>
    <w:rsid w:val="06425B25"/>
    <w:rsid w:val="0C3E3188"/>
    <w:rsid w:val="131A2EAB"/>
    <w:rsid w:val="144D6A10"/>
    <w:rsid w:val="14512AE4"/>
    <w:rsid w:val="14805E6D"/>
    <w:rsid w:val="14EB7E01"/>
    <w:rsid w:val="15774C9D"/>
    <w:rsid w:val="194F7996"/>
    <w:rsid w:val="195425EF"/>
    <w:rsid w:val="19BB1243"/>
    <w:rsid w:val="1A122025"/>
    <w:rsid w:val="1BFB1448"/>
    <w:rsid w:val="1C0C1ED2"/>
    <w:rsid w:val="1E3035B6"/>
    <w:rsid w:val="1F51312D"/>
    <w:rsid w:val="20783BD5"/>
    <w:rsid w:val="22F6163B"/>
    <w:rsid w:val="2664210D"/>
    <w:rsid w:val="275859A0"/>
    <w:rsid w:val="275B17B6"/>
    <w:rsid w:val="27D84529"/>
    <w:rsid w:val="28BB61E6"/>
    <w:rsid w:val="2AC93CBE"/>
    <w:rsid w:val="2BA15C43"/>
    <w:rsid w:val="2CE33F5E"/>
    <w:rsid w:val="2F2820FC"/>
    <w:rsid w:val="2FB33802"/>
    <w:rsid w:val="31163AD0"/>
    <w:rsid w:val="315370F6"/>
    <w:rsid w:val="31F12C79"/>
    <w:rsid w:val="327C3F33"/>
    <w:rsid w:val="33C73702"/>
    <w:rsid w:val="342054FA"/>
    <w:rsid w:val="36035EE7"/>
    <w:rsid w:val="373F0574"/>
    <w:rsid w:val="3BAA4DC5"/>
    <w:rsid w:val="3BDA11A3"/>
    <w:rsid w:val="3C1732DC"/>
    <w:rsid w:val="3F6C393F"/>
    <w:rsid w:val="432E715D"/>
    <w:rsid w:val="45BE6EBE"/>
    <w:rsid w:val="464A554C"/>
    <w:rsid w:val="4B573E0D"/>
    <w:rsid w:val="4B9A4D16"/>
    <w:rsid w:val="4BC863A1"/>
    <w:rsid w:val="4CD51C9D"/>
    <w:rsid w:val="4D131782"/>
    <w:rsid w:val="4E811B11"/>
    <w:rsid w:val="50354221"/>
    <w:rsid w:val="50974594"/>
    <w:rsid w:val="51071719"/>
    <w:rsid w:val="52037B37"/>
    <w:rsid w:val="52DF6A37"/>
    <w:rsid w:val="55D431E1"/>
    <w:rsid w:val="567D0E31"/>
    <w:rsid w:val="5A8965A6"/>
    <w:rsid w:val="5A9C5970"/>
    <w:rsid w:val="5B07456D"/>
    <w:rsid w:val="5C1F70E4"/>
    <w:rsid w:val="5F327BF7"/>
    <w:rsid w:val="5FFA2985"/>
    <w:rsid w:val="6070010A"/>
    <w:rsid w:val="6C855F05"/>
    <w:rsid w:val="6D8F29AD"/>
    <w:rsid w:val="6FDD3497"/>
    <w:rsid w:val="709B394E"/>
    <w:rsid w:val="725D1408"/>
    <w:rsid w:val="73333C07"/>
    <w:rsid w:val="755B5A35"/>
    <w:rsid w:val="75E1612D"/>
    <w:rsid w:val="773A6FB4"/>
    <w:rsid w:val="77F87F91"/>
    <w:rsid w:val="7B675786"/>
    <w:rsid w:val="7B8B3432"/>
    <w:rsid w:val="7D817891"/>
    <w:rsid w:val="7F0B337E"/>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qFormat="1" w:uiPriority="99" w:semiHidden="0" w:name="macro"/>
    <w:lsdException w:uiPriority="99" w:name="toa heading"/>
    <w:lsdException w:qFormat="1" w:uiPriority="99" w:semiHidden="0" w:name="List"/>
    <w:lsdException w:qFormat="1" w:uiPriority="99" w:semiHidden="0" w:name="List Bullet"/>
    <w:lsdException w:qFormat="1" w:uiPriority="99" w:semiHidden="0" w:name="List Number"/>
    <w:lsdException w:qFormat="1" w:uiPriority="99" w:semiHidden="0" w:name="List 2"/>
    <w:lsdException w:qFormat="1" w:uiPriority="99" w:semiHidden="0" w:name="List 3"/>
    <w:lsdException w:uiPriority="99" w:name="List 4"/>
    <w:lsdException w:uiPriority="99" w:name="List 5"/>
    <w:lsdException w:qFormat="1" w:uiPriority="99" w:semiHidden="0" w:name="List Bullet 2"/>
    <w:lsdException w:qFormat="1" w:uiPriority="99" w:semiHidden="0" w:name="List Bullet 3"/>
    <w:lsdException w:uiPriority="99" w:name="List Bullet 4"/>
    <w:lsdException w:uiPriority="99" w:name="List Bullet 5"/>
    <w:lsdException w:qFormat="1" w:uiPriority="99" w:semiHidden="0" w:name="List Number 2"/>
    <w:lsdException w:qFormat="1" w:uiPriority="99" w:semiHidden="0"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semiHidden="0" w:name="Body Text"/>
    <w:lsdException w:uiPriority="99" w:name="Body Text Indent"/>
    <w:lsdException w:qFormat="1" w:uiPriority="99" w:semiHidden="0" w:name="List Continue"/>
    <w:lsdException w:qFormat="1" w:uiPriority="99" w:semiHidden="0" w:name="List Continue 2"/>
    <w:lsdException w:qFormat="1" w:uiPriority="99" w:semiHidden="0"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iPriority="99" w:semiHidden="0" w:name="Body Text 2"/>
    <w:lsdException w:qFormat="1" w:uiPriority="99" w:semiHidden="0"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qFormat="1" w:unhideWhenUsed="0" w:uiPriority="1" w:semiHidden="0" w:name="No Spacing"/>
    <w:lsdException w:qFormat="1" w:unhideWhenUsed="0" w:uiPriority="60" w:semiHidden="0" w:name="Light Shading"/>
    <w:lsdException w:qFormat="1" w:unhideWhenUsed="0" w:uiPriority="61" w:semiHidden="0" w:name="Light List"/>
    <w:lsdException w:qFormat="1"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qFormat="1"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qFormat="1"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qFormat="1"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qFormat="1" w:unhideWhenUsed="0" w:uiPriority="73" w:semiHidden="0" w:name="Colorful Grid Accent 5"/>
    <w:lsdException w:qFormat="1" w:unhideWhenUsed="0" w:uiPriority="60" w:semiHidden="0" w:name="Light Shading Accent 6"/>
    <w:lsdException w:qFormat="1"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unhideWhenUsed="0" w:uiPriority="72" w:semiHidden="0" w:name="Colorful List Accent 6"/>
    <w:lsdException w:qFormat="1" w:unhideWhenUsed="0" w:uiPriority="73" w:semiHidden="0" w:name="Colorful Grid Accent 6"/>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3">
    <w:name w:val="heading 1"/>
    <w:basedOn w:val="1"/>
    <w:next w:val="1"/>
    <w:link w:val="141"/>
    <w:qFormat/>
    <w:uiPriority w:val="9"/>
    <w:pPr>
      <w:keepNext/>
      <w:keepLines/>
      <w:spacing w:before="480" w:after="0"/>
      <w:outlineLvl w:val="0"/>
    </w:pPr>
    <w:rPr>
      <w:rFonts w:asciiTheme="majorHAnsi" w:hAnsiTheme="majorHAnsi" w:eastAsiaTheme="majorEastAsia" w:cstheme="majorBidi"/>
      <w:b/>
      <w:bCs/>
      <w:color w:val="376092" w:themeColor="accent1" w:themeShade="BF"/>
      <w:sz w:val="28"/>
      <w:szCs w:val="28"/>
    </w:rPr>
  </w:style>
  <w:style w:type="paragraph" w:styleId="4">
    <w:name w:val="heading 2"/>
    <w:basedOn w:val="1"/>
    <w:next w:val="1"/>
    <w:link w:val="142"/>
    <w:unhideWhenUsed/>
    <w:qFormat/>
    <w:uiPriority w:val="9"/>
    <w:pPr>
      <w:keepNext/>
      <w:keepLines/>
      <w:spacing w:before="200" w:after="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5">
    <w:name w:val="heading 3"/>
    <w:basedOn w:val="1"/>
    <w:next w:val="1"/>
    <w:link w:val="14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1"/>
    <w:link w:val="153"/>
    <w:semiHidden/>
    <w:unhideWhenUsed/>
    <w:qFormat/>
    <w:uiPriority w:val="9"/>
    <w:pPr>
      <w:keepNext/>
      <w:keepLines/>
      <w:spacing w:before="200" w:after="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paragraph" w:styleId="7">
    <w:name w:val="heading 5"/>
    <w:basedOn w:val="1"/>
    <w:next w:val="1"/>
    <w:link w:val="154"/>
    <w:semiHidden/>
    <w:unhideWhenUsed/>
    <w:qFormat/>
    <w:uiPriority w:val="9"/>
    <w:pPr>
      <w:keepNext/>
      <w:keepLines/>
      <w:spacing w:before="200" w:after="0"/>
      <w:outlineLvl w:val="4"/>
    </w:pPr>
    <w:rPr>
      <w:rFonts w:asciiTheme="majorHAnsi" w:hAnsiTheme="majorHAnsi" w:eastAsiaTheme="majorEastAsia" w:cstheme="majorBidi"/>
      <w:color w:val="254061" w:themeColor="accent1" w:themeShade="80"/>
    </w:rPr>
  </w:style>
  <w:style w:type="paragraph" w:styleId="8">
    <w:name w:val="heading 6"/>
    <w:basedOn w:val="1"/>
    <w:next w:val="1"/>
    <w:link w:val="155"/>
    <w:semiHidden/>
    <w:unhideWhenUsed/>
    <w:qFormat/>
    <w:uiPriority w:val="9"/>
    <w:pPr>
      <w:keepNext/>
      <w:keepLines/>
      <w:spacing w:before="200" w:after="0"/>
      <w:outlineLvl w:val="5"/>
    </w:pPr>
    <w:rPr>
      <w:rFonts w:asciiTheme="majorHAnsi" w:hAnsiTheme="majorHAnsi" w:eastAsiaTheme="majorEastAsia" w:cstheme="majorBidi"/>
      <w:i/>
      <w:iCs/>
      <w:color w:val="254061" w:themeColor="accent1" w:themeShade="80"/>
    </w:rPr>
  </w:style>
  <w:style w:type="paragraph" w:styleId="9">
    <w:name w:val="heading 7"/>
    <w:basedOn w:val="1"/>
    <w:next w:val="1"/>
    <w:link w:val="156"/>
    <w:semiHidden/>
    <w:unhideWhenUsed/>
    <w:qFormat/>
    <w:uiPriority w:val="9"/>
    <w:pPr>
      <w:keepNext/>
      <w:keepLines/>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0">
    <w:name w:val="heading 8"/>
    <w:basedOn w:val="1"/>
    <w:next w:val="1"/>
    <w:link w:val="157"/>
    <w:semiHidden/>
    <w:unhideWhenUsed/>
    <w:qFormat/>
    <w:uiPriority w:val="9"/>
    <w:pPr>
      <w:keepNext/>
      <w:keepLines/>
      <w:spacing w:before="200" w:after="0"/>
      <w:outlineLvl w:val="7"/>
    </w:pPr>
    <w:rPr>
      <w:rFonts w:asciiTheme="majorHAnsi" w:hAnsiTheme="majorHAnsi" w:eastAsiaTheme="majorEastAsia" w:cstheme="majorBidi"/>
      <w:color w:val="4F81BD" w:themeColor="accent1"/>
      <w:sz w:val="20"/>
      <w:szCs w:val="20"/>
      <w14:textFill>
        <w14:solidFill>
          <w14:schemeClr w14:val="accent1"/>
        </w14:solidFill>
      </w14:textFill>
    </w:rPr>
  </w:style>
  <w:style w:type="paragraph" w:styleId="11">
    <w:name w:val="heading 9"/>
    <w:basedOn w:val="1"/>
    <w:next w:val="1"/>
    <w:link w:val="158"/>
    <w:semiHidden/>
    <w:unhideWhenUsed/>
    <w:qFormat/>
    <w:uiPriority w:val="9"/>
    <w:pPr>
      <w:keepNext/>
      <w:keepLines/>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33">
    <w:name w:val="Default Paragraph Font"/>
    <w:semiHidden/>
    <w:unhideWhenUsed/>
    <w:qFormat/>
    <w:uiPriority w:val="1"/>
  </w:style>
  <w:style w:type="table" w:default="1" w:styleId="33">
    <w:name w:val="Normal Table"/>
    <w:semiHidden/>
    <w:unhideWhenUsed/>
    <w:qFormat/>
    <w:uiPriority w:val="99"/>
    <w:tblPr>
      <w:tblCellMar>
        <w:top w:w="0" w:type="dxa"/>
        <w:left w:w="108" w:type="dxa"/>
        <w:bottom w:w="0" w:type="dxa"/>
        <w:right w:w="108" w:type="dxa"/>
      </w:tblCellMar>
    </w:tblPr>
  </w:style>
  <w:style w:type="paragraph" w:styleId="2">
    <w:name w:val="macro"/>
    <w:link w:val="150"/>
    <w:unhideWhenUsed/>
    <w:qFormat/>
    <w:uiPriority w:val="99"/>
    <w:pPr>
      <w:tabs>
        <w:tab w:val="left" w:pos="576"/>
        <w:tab w:val="left" w:pos="1152"/>
        <w:tab w:val="left" w:pos="1728"/>
        <w:tab w:val="left" w:pos="2304"/>
        <w:tab w:val="left" w:pos="2880"/>
        <w:tab w:val="left" w:pos="3456"/>
        <w:tab w:val="left" w:pos="4032"/>
      </w:tabs>
      <w:spacing w:after="200" w:line="276" w:lineRule="auto"/>
    </w:pPr>
    <w:rPr>
      <w:rFonts w:ascii="Courier" w:hAnsi="Courier" w:eastAsiaTheme="minorEastAsia" w:cstheme="minorBidi"/>
      <w:sz w:val="20"/>
      <w:szCs w:val="20"/>
      <w:lang w:val="en-US" w:eastAsia="en-US" w:bidi="ar-SA"/>
    </w:rPr>
  </w:style>
  <w:style w:type="paragraph" w:styleId="12">
    <w:name w:val="List 3"/>
    <w:basedOn w:val="1"/>
    <w:unhideWhenUsed/>
    <w:qFormat/>
    <w:uiPriority w:val="99"/>
    <w:pPr>
      <w:ind w:left="1080" w:hanging="360"/>
      <w:contextualSpacing/>
    </w:pPr>
  </w:style>
  <w:style w:type="paragraph" w:styleId="13">
    <w:name w:val="List Number 2"/>
    <w:basedOn w:val="1"/>
    <w:unhideWhenUsed/>
    <w:qFormat/>
    <w:uiPriority w:val="99"/>
    <w:pPr>
      <w:numPr>
        <w:ilvl w:val="0"/>
        <w:numId w:val="1"/>
      </w:numPr>
      <w:contextualSpacing/>
    </w:pPr>
  </w:style>
  <w:style w:type="paragraph" w:styleId="14">
    <w:name w:val="List Number"/>
    <w:basedOn w:val="1"/>
    <w:unhideWhenUsed/>
    <w:qFormat/>
    <w:uiPriority w:val="99"/>
    <w:pPr>
      <w:numPr>
        <w:ilvl w:val="0"/>
        <w:numId w:val="2"/>
      </w:numPr>
      <w:contextualSpacing/>
    </w:pPr>
  </w:style>
  <w:style w:type="paragraph" w:styleId="15">
    <w:name w:val="caption"/>
    <w:basedOn w:val="1"/>
    <w:next w:val="1"/>
    <w:semiHidden/>
    <w:unhideWhenUsed/>
    <w:qFormat/>
    <w:uiPriority w:val="35"/>
    <w:pPr>
      <w:spacing w:line="240" w:lineRule="auto"/>
    </w:pPr>
    <w:rPr>
      <w:b/>
      <w:bCs/>
      <w:color w:val="4F81BD" w:themeColor="accent1"/>
      <w:sz w:val="18"/>
      <w:szCs w:val="18"/>
      <w14:textFill>
        <w14:solidFill>
          <w14:schemeClr w14:val="accent1"/>
        </w14:solidFill>
      </w14:textFill>
    </w:rPr>
  </w:style>
  <w:style w:type="paragraph" w:styleId="16">
    <w:name w:val="List Bullet"/>
    <w:basedOn w:val="1"/>
    <w:unhideWhenUsed/>
    <w:qFormat/>
    <w:uiPriority w:val="99"/>
    <w:pPr>
      <w:numPr>
        <w:ilvl w:val="0"/>
        <w:numId w:val="3"/>
      </w:numPr>
      <w:contextualSpacing/>
    </w:pPr>
  </w:style>
  <w:style w:type="paragraph" w:styleId="17">
    <w:name w:val="Body Text 3"/>
    <w:basedOn w:val="1"/>
    <w:link w:val="149"/>
    <w:unhideWhenUsed/>
    <w:qFormat/>
    <w:uiPriority w:val="99"/>
    <w:pPr>
      <w:spacing w:after="120"/>
    </w:pPr>
    <w:rPr>
      <w:sz w:val="16"/>
      <w:szCs w:val="16"/>
    </w:rPr>
  </w:style>
  <w:style w:type="paragraph" w:styleId="18">
    <w:name w:val="List Bullet 3"/>
    <w:basedOn w:val="1"/>
    <w:unhideWhenUsed/>
    <w:qFormat/>
    <w:uiPriority w:val="99"/>
    <w:pPr>
      <w:numPr>
        <w:ilvl w:val="0"/>
        <w:numId w:val="4"/>
      </w:numPr>
      <w:contextualSpacing/>
    </w:pPr>
  </w:style>
  <w:style w:type="paragraph" w:styleId="19">
    <w:name w:val="Body Text"/>
    <w:basedOn w:val="1"/>
    <w:link w:val="147"/>
    <w:unhideWhenUsed/>
    <w:qFormat/>
    <w:uiPriority w:val="99"/>
    <w:pPr>
      <w:spacing w:after="120"/>
    </w:pPr>
  </w:style>
  <w:style w:type="paragraph" w:styleId="20">
    <w:name w:val="List Number 3"/>
    <w:basedOn w:val="1"/>
    <w:unhideWhenUsed/>
    <w:qFormat/>
    <w:uiPriority w:val="99"/>
    <w:pPr>
      <w:numPr>
        <w:ilvl w:val="0"/>
        <w:numId w:val="5"/>
      </w:numPr>
      <w:contextualSpacing/>
    </w:pPr>
  </w:style>
  <w:style w:type="paragraph" w:styleId="21">
    <w:name w:val="List 2"/>
    <w:basedOn w:val="1"/>
    <w:unhideWhenUsed/>
    <w:qFormat/>
    <w:uiPriority w:val="99"/>
    <w:pPr>
      <w:ind w:left="720" w:hanging="360"/>
      <w:contextualSpacing/>
    </w:pPr>
  </w:style>
  <w:style w:type="paragraph" w:styleId="22">
    <w:name w:val="List Continue"/>
    <w:basedOn w:val="1"/>
    <w:unhideWhenUsed/>
    <w:qFormat/>
    <w:uiPriority w:val="99"/>
    <w:pPr>
      <w:spacing w:after="120"/>
      <w:ind w:left="360"/>
      <w:contextualSpacing/>
    </w:pPr>
  </w:style>
  <w:style w:type="paragraph" w:styleId="23">
    <w:name w:val="List Bullet 2"/>
    <w:basedOn w:val="1"/>
    <w:unhideWhenUsed/>
    <w:qFormat/>
    <w:uiPriority w:val="99"/>
    <w:pPr>
      <w:numPr>
        <w:ilvl w:val="0"/>
        <w:numId w:val="6"/>
      </w:numPr>
      <w:contextualSpacing/>
    </w:pPr>
  </w:style>
  <w:style w:type="paragraph" w:styleId="24">
    <w:name w:val="footer"/>
    <w:basedOn w:val="1"/>
    <w:link w:val="139"/>
    <w:unhideWhenUsed/>
    <w:qFormat/>
    <w:uiPriority w:val="99"/>
    <w:pPr>
      <w:tabs>
        <w:tab w:val="center" w:pos="4680"/>
        <w:tab w:val="right" w:pos="9360"/>
      </w:tabs>
      <w:spacing w:after="0" w:line="240" w:lineRule="auto"/>
    </w:pPr>
  </w:style>
  <w:style w:type="paragraph" w:styleId="25">
    <w:name w:val="header"/>
    <w:basedOn w:val="1"/>
    <w:link w:val="138"/>
    <w:unhideWhenUsed/>
    <w:qFormat/>
    <w:uiPriority w:val="99"/>
    <w:pPr>
      <w:tabs>
        <w:tab w:val="center" w:pos="4680"/>
        <w:tab w:val="right" w:pos="9360"/>
      </w:tabs>
      <w:spacing w:after="0" w:line="240" w:lineRule="auto"/>
    </w:pPr>
  </w:style>
  <w:style w:type="paragraph" w:styleId="26">
    <w:name w:val="Subtitle"/>
    <w:basedOn w:val="1"/>
    <w:next w:val="1"/>
    <w:link w:val="145"/>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27">
    <w:name w:val="List"/>
    <w:basedOn w:val="1"/>
    <w:unhideWhenUsed/>
    <w:qFormat/>
    <w:uiPriority w:val="99"/>
    <w:pPr>
      <w:ind w:left="360" w:hanging="360"/>
      <w:contextualSpacing/>
    </w:pPr>
  </w:style>
  <w:style w:type="paragraph" w:styleId="28">
    <w:name w:val="Body Text 2"/>
    <w:basedOn w:val="1"/>
    <w:link w:val="148"/>
    <w:unhideWhenUsed/>
    <w:qFormat/>
    <w:uiPriority w:val="99"/>
    <w:pPr>
      <w:spacing w:after="120" w:line="480" w:lineRule="auto"/>
    </w:pPr>
  </w:style>
  <w:style w:type="paragraph" w:styleId="29">
    <w:name w:val="List Continue 2"/>
    <w:basedOn w:val="1"/>
    <w:unhideWhenUsed/>
    <w:qFormat/>
    <w:uiPriority w:val="99"/>
    <w:pPr>
      <w:spacing w:after="120"/>
      <w:ind w:left="720"/>
      <w:contextualSpacing/>
    </w:pPr>
  </w:style>
  <w:style w:type="paragraph" w:styleId="30">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paragraph" w:styleId="31">
    <w:name w:val="List Continue 3"/>
    <w:basedOn w:val="1"/>
    <w:unhideWhenUsed/>
    <w:qFormat/>
    <w:uiPriority w:val="99"/>
    <w:pPr>
      <w:spacing w:after="120"/>
      <w:ind w:left="1080"/>
      <w:contextualSpacing/>
    </w:pPr>
  </w:style>
  <w:style w:type="paragraph" w:styleId="32">
    <w:name w:val="Title"/>
    <w:basedOn w:val="1"/>
    <w:next w:val="1"/>
    <w:link w:val="144"/>
    <w:qFormat/>
    <w:uiPriority w:val="1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52"/>
      <w:szCs w:val="52"/>
    </w:rPr>
  </w:style>
  <w:style w:type="table" w:styleId="34">
    <w:name w:val="Table Grid"/>
    <w:basedOn w:val="33"/>
    <w:qFormat/>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35">
    <w:name w:val="Light Shading"/>
    <w:basedOn w:val="33"/>
    <w:qFormat/>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36">
    <w:name w:val="Light Shading Accent 1"/>
    <w:basedOn w:val="33"/>
    <w:qFormat/>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37">
    <w:name w:val="Light Shading Accent 2"/>
    <w:basedOn w:val="33"/>
    <w:qFormat/>
    <w:uiPriority w:val="60"/>
    <w:pPr>
      <w:spacing w:after="0" w:line="240" w:lineRule="auto"/>
    </w:pPr>
    <w:rPr>
      <w:color w:val="953735" w:themeColor="accent2" w:themeShade="BF"/>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lastRow">
      <w:pPr>
        <w:spacing w:before="0" w:after="0" w:line="240" w:lineRule="auto"/>
      </w:pPr>
      <w:rPr>
        <w:b/>
        <w:bCs/>
      </w:rPr>
      <w:tblPr/>
      <w:tcPr>
        <w:tcBorders>
          <w:top w:val="single" w:color="C0504D" w:themeColor="accent2" w:sz="8" w:space="0"/>
          <w:left w:val="nil"/>
          <w:bottom w:val="single" w:color="C0504D"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left w:val="nil"/>
          <w:right w:val="nil"/>
          <w:insideH w:val="nil"/>
          <w:insideV w:val="nil"/>
        </w:tcBorders>
        <w:shd w:val="clear" w:color="auto" w:fill="EFD3D3" w:themeFill="accent2" w:themeFillTint="3F"/>
      </w:tcPr>
    </w:tblStylePr>
  </w:style>
  <w:style w:type="table" w:styleId="38">
    <w:name w:val="Light Shading Accent 3"/>
    <w:basedOn w:val="33"/>
    <w:qFormat/>
    <w:uiPriority w:val="60"/>
    <w:pPr>
      <w:spacing w:after="0" w:line="240" w:lineRule="auto"/>
    </w:pPr>
    <w:rPr>
      <w:color w:val="77933C" w:themeColor="accent3" w:themeShade="BF"/>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lastRow">
      <w:pPr>
        <w:spacing w:before="0" w:after="0" w:line="240" w:lineRule="auto"/>
      </w:pPr>
      <w:rPr>
        <w:b/>
        <w:bCs/>
      </w:rPr>
      <w:tblPr/>
      <w:tcPr>
        <w:tcBorders>
          <w:top w:val="single" w:color="9BBB59" w:themeColor="accent3" w:sz="8" w:space="0"/>
          <w:left w:val="nil"/>
          <w:bottom w:val="single" w:color="9BBB59"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39">
    <w:name w:val="Light Shading Accent 4"/>
    <w:basedOn w:val="33"/>
    <w:qFormat/>
    <w:uiPriority w:val="60"/>
    <w:pPr>
      <w:spacing w:after="0" w:line="240" w:lineRule="auto"/>
    </w:pPr>
    <w:rPr>
      <w:color w:val="604A7B" w:themeColor="accent4" w:themeShade="BF"/>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lastRow">
      <w:pPr>
        <w:spacing w:before="0" w:after="0" w:line="240" w:lineRule="auto"/>
      </w:pPr>
      <w:rPr>
        <w:b/>
        <w:bCs/>
      </w:rPr>
      <w:tblPr/>
      <w:tcPr>
        <w:tcBorders>
          <w:top w:val="single" w:color="8064A2" w:themeColor="accent4" w:sz="8" w:space="0"/>
          <w:left w:val="nil"/>
          <w:bottom w:val="single" w:color="8064A2"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40">
    <w:name w:val="Light Shading Accent 5"/>
    <w:basedOn w:val="33"/>
    <w:qFormat/>
    <w:uiPriority w:val="60"/>
    <w:pPr>
      <w:spacing w:after="0" w:line="240" w:lineRule="auto"/>
    </w:pPr>
    <w:rPr>
      <w:color w:val="31859C" w:themeColor="accent5" w:themeShade="BF"/>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lastRow">
      <w:pPr>
        <w:spacing w:before="0" w:after="0" w:line="240" w:lineRule="auto"/>
      </w:pPr>
      <w:rPr>
        <w:b/>
        <w:bCs/>
      </w:rPr>
      <w:tblPr/>
      <w:tcPr>
        <w:tcBorders>
          <w:top w:val="single" w:color="4BACC6" w:themeColor="accent5" w:sz="8" w:space="0"/>
          <w:left w:val="nil"/>
          <w:bottom w:val="single" w:color="4BACC6"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left w:val="nil"/>
          <w:right w:val="nil"/>
          <w:insideH w:val="nil"/>
          <w:insideV w:val="nil"/>
        </w:tcBorders>
        <w:shd w:val="clear" w:color="auto" w:fill="D2EAF0" w:themeFill="accent5" w:themeFillTint="3F"/>
      </w:tcPr>
    </w:tblStylePr>
  </w:style>
  <w:style w:type="table" w:styleId="41">
    <w:name w:val="Light Shading Accent 6"/>
    <w:basedOn w:val="33"/>
    <w:qFormat/>
    <w:uiPriority w:val="60"/>
    <w:pPr>
      <w:spacing w:after="0" w:line="240" w:lineRule="auto"/>
    </w:pPr>
    <w:rPr>
      <w:color w:val="E46C0A" w:themeColor="accent6" w:themeShade="BF"/>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lastRow">
      <w:pPr>
        <w:spacing w:before="0" w:after="0" w:line="240" w:lineRule="auto"/>
      </w:pPr>
      <w:rPr>
        <w:b/>
        <w:bCs/>
      </w:rPr>
      <w:tblPr/>
      <w:tcPr>
        <w:tcBorders>
          <w:top w:val="single" w:color="F79646" w:themeColor="accent6" w:sz="8" w:space="0"/>
          <w:left w:val="nil"/>
          <w:bottom w:val="single" w:color="F79646"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left w:val="nil"/>
          <w:right w:val="nil"/>
          <w:insideH w:val="nil"/>
          <w:insideV w:val="nil"/>
        </w:tcBorders>
        <w:shd w:val="clear" w:color="auto" w:fill="FDE5D1" w:themeFill="accent6" w:themeFillTint="3F"/>
      </w:tcPr>
    </w:tblStylePr>
  </w:style>
  <w:style w:type="table" w:styleId="42">
    <w:name w:val="Light List"/>
    <w:basedOn w:val="33"/>
    <w:qFormat/>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43">
    <w:name w:val="Light List Accent 1"/>
    <w:basedOn w:val="33"/>
    <w:qFormat/>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F81BD" w:themeFill="accent1"/>
      </w:tcPr>
    </w:tblStylePr>
    <w:tblStylePr w:type="lastRow">
      <w:pPr>
        <w:spacing w:before="0" w:after="0" w:line="240" w:lineRule="auto"/>
      </w:pPr>
      <w:rPr>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44">
    <w:name w:val="Light List Accent 2"/>
    <w:basedOn w:val="33"/>
    <w:qFormat/>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C0504D" w:themeFill="accent2"/>
      </w:tcPr>
    </w:tblStylePr>
    <w:tblStylePr w:type="lastRow">
      <w:pPr>
        <w:spacing w:before="0" w:after="0" w:line="240" w:lineRule="auto"/>
      </w:pPr>
      <w:rPr>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45">
    <w:name w:val="Light List Accent 3"/>
    <w:basedOn w:val="33"/>
    <w:qFormat/>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9BBB59" w:themeFill="accent3"/>
      </w:tcPr>
    </w:tblStylePr>
    <w:tblStylePr w:type="lastRow">
      <w:pPr>
        <w:spacing w:before="0" w:after="0" w:line="240" w:lineRule="auto"/>
      </w:pPr>
      <w:rPr>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46">
    <w:name w:val="Light List Accent 4"/>
    <w:basedOn w:val="33"/>
    <w:qFormat/>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8064A2" w:themeFill="accent4"/>
      </w:tcPr>
    </w:tblStylePr>
    <w:tblStylePr w:type="lastRow">
      <w:pPr>
        <w:spacing w:before="0" w:after="0" w:line="240" w:lineRule="auto"/>
      </w:pPr>
      <w:rPr>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47">
    <w:name w:val="Light List Accent 5"/>
    <w:basedOn w:val="33"/>
    <w:qFormat/>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48">
    <w:name w:val="Light List Accent 6"/>
    <w:basedOn w:val="33"/>
    <w:qFormat/>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shd w:val="clear" w:color="auto" w:fill="F79646" w:themeFill="accent6"/>
      </w:tcPr>
    </w:tblStylePr>
    <w:tblStylePr w:type="lastRow">
      <w:pPr>
        <w:spacing w:before="0" w:after="0" w:line="240" w:lineRule="auto"/>
      </w:pPr>
      <w:rPr>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9">
    <w:name w:val="Light Grid"/>
    <w:basedOn w:val="33"/>
    <w:qFormat/>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50">
    <w:name w:val="Light Grid Accent 1"/>
    <w:basedOn w:val="33"/>
    <w:qFormat/>
    <w:uiPriority w:val="62"/>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blPr/>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table" w:styleId="51">
    <w:name w:val="Light Grid Accent 2"/>
    <w:basedOn w:val="33"/>
    <w:qFormat/>
    <w:uiPriority w:val="62"/>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18" w:space="0"/>
          <w:right w:val="single" w:color="C0504D"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C0504D" w:themeColor="accent2" w:sz="6" w:space="0"/>
          <w:left w:val="single" w:color="C0504D" w:themeColor="accent2" w:sz="8" w:space="0"/>
          <w:bottom w:val="single" w:color="C0504D" w:themeColor="accent2" w:sz="8" w:space="0"/>
          <w:right w:val="single" w:color="C0504D"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Vert">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shd w:val="clear" w:color="auto" w:fill="EFD3D3" w:themeFill="accent2" w:themeFillTint="3F"/>
      </w:tcPr>
    </w:tblStylePr>
    <w:tblStylePr w:type="band1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shd w:val="clear" w:color="auto" w:fill="EFD3D3" w:themeFill="accent2" w:themeFillTint="3F"/>
      </w:tcPr>
    </w:tblStylePr>
    <w:tblStylePr w:type="band2Horz">
      <w:tblPr/>
      <w:tcPr>
        <w:tcBorders>
          <w:top w:val="single" w:color="C0504D" w:themeColor="accent2" w:sz="8" w:space="0"/>
          <w:left w:val="single" w:color="C0504D" w:themeColor="accent2" w:sz="8" w:space="0"/>
          <w:bottom w:val="single" w:color="C0504D" w:themeColor="accent2" w:sz="8" w:space="0"/>
          <w:right w:val="single" w:color="C0504D" w:themeColor="accent2" w:sz="8" w:space="0"/>
          <w:insideV w:val="single" w:sz="8" w:space="0"/>
        </w:tcBorders>
      </w:tcPr>
    </w:tblStylePr>
  </w:style>
  <w:style w:type="table" w:styleId="52">
    <w:name w:val="Light Grid Accent 3"/>
    <w:basedOn w:val="33"/>
    <w:qFormat/>
    <w:uiPriority w:val="62"/>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blPr/>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53">
    <w:name w:val="Light Grid Accent 4"/>
    <w:basedOn w:val="33"/>
    <w:qFormat/>
    <w:uiPriority w:val="62"/>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18" w:space="0"/>
          <w:right w:val="single" w:color="8064A2"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8064A2" w:themeColor="accent4" w:sz="6" w:space="0"/>
          <w:left w:val="single" w:color="8064A2" w:themeColor="accent4" w:sz="8" w:space="0"/>
          <w:bottom w:val="single" w:color="8064A2" w:themeColor="accent4" w:sz="8" w:space="0"/>
          <w:right w:val="single" w:color="8064A2"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Vert">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shd w:val="clear" w:color="auto" w:fill="DFD8E8" w:themeFill="accent4" w:themeFillTint="3F"/>
      </w:tcPr>
    </w:tblStylePr>
    <w:tblStylePr w:type="band1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shd w:val="clear" w:color="auto" w:fill="DFD8E8" w:themeFill="accent4" w:themeFillTint="3F"/>
      </w:tcPr>
    </w:tblStylePr>
    <w:tblStylePr w:type="band2Horz">
      <w:tblPr/>
      <w:tcPr>
        <w:tcBorders>
          <w:top w:val="single" w:color="8064A2" w:themeColor="accent4" w:sz="8" w:space="0"/>
          <w:left w:val="single" w:color="8064A2" w:themeColor="accent4" w:sz="8" w:space="0"/>
          <w:bottom w:val="single" w:color="8064A2" w:themeColor="accent4" w:sz="8" w:space="0"/>
          <w:right w:val="single" w:color="8064A2" w:themeColor="accent4" w:sz="8" w:space="0"/>
          <w:insideV w:val="single" w:sz="8" w:space="0"/>
        </w:tcBorders>
      </w:tcPr>
    </w:tblStylePr>
  </w:style>
  <w:style w:type="table" w:styleId="54">
    <w:name w:val="Light Grid Accent 5"/>
    <w:basedOn w:val="33"/>
    <w:qFormat/>
    <w:uiPriority w:val="62"/>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styleId="55">
    <w:name w:val="Light Grid Accent 6"/>
    <w:basedOn w:val="33"/>
    <w:qFormat/>
    <w:uiPriority w:val="62"/>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18" w:space="0"/>
          <w:right w:val="single" w:color="F79646"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F79646" w:themeColor="accent6" w:sz="6" w:space="0"/>
          <w:left w:val="single" w:color="F79646" w:themeColor="accent6" w:sz="8" w:space="0"/>
          <w:bottom w:val="single" w:color="F79646" w:themeColor="accent6" w:sz="8" w:space="0"/>
          <w:right w:val="single" w:color="F79646"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Vert">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shd w:val="clear" w:color="auto" w:fill="FDE5D1" w:themeFill="accent6" w:themeFillTint="3F"/>
      </w:tcPr>
    </w:tblStylePr>
    <w:tblStylePr w:type="band1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shd w:val="clear" w:color="auto" w:fill="FDE5D1" w:themeFill="accent6" w:themeFillTint="3F"/>
      </w:tcPr>
    </w:tblStylePr>
    <w:tblStylePr w:type="band2Horz">
      <w:tblPr/>
      <w:tcPr>
        <w:tcBorders>
          <w:top w:val="single" w:color="F79646" w:themeColor="accent6" w:sz="8" w:space="0"/>
          <w:left w:val="single" w:color="F79646" w:themeColor="accent6" w:sz="8" w:space="0"/>
          <w:bottom w:val="single" w:color="F79646" w:themeColor="accent6" w:sz="8" w:space="0"/>
          <w:right w:val="single" w:color="F79646" w:themeColor="accent6" w:sz="8" w:space="0"/>
          <w:insideV w:val="single" w:sz="8" w:space="0"/>
        </w:tcBorders>
      </w:tcPr>
    </w:tblStylePr>
  </w:style>
  <w:style w:type="table" w:styleId="56">
    <w:name w:val="Medium Shading 1"/>
    <w:basedOn w:val="33"/>
    <w:qFormat/>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57">
    <w:name w:val="Medium Shading 1 Accent 1"/>
    <w:basedOn w:val="33"/>
    <w:qFormat/>
    <w:uiPriority w:val="63"/>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shd w:val="clear" w:color="auto" w:fill="4F81BD" w:themeFill="accent1"/>
      </w:tcPr>
    </w:tblStylePr>
    <w:tblStylePr w:type="lastRow">
      <w:pPr>
        <w:spacing w:before="0" w:after="0" w:line="240" w:lineRule="auto"/>
      </w:pPr>
      <w:rPr>
        <w:b/>
        <w:bCs/>
      </w:rPr>
      <w:tblPr/>
      <w:tcPr>
        <w:tcBorders>
          <w:top w:val="double" w:color="7BA0CD" w:themeColor="accent1" w:themeTint="BF" w:sz="6" w:space="0"/>
          <w:left w:val="single" w:color="7BA0CD" w:themeColor="accent1" w:themeTint="BF" w:sz="8" w:space="0"/>
          <w:bottom w:val="single" w:color="7BA0CD" w:themeColor="accent1" w:themeTint="BF" w:sz="8" w:space="0"/>
          <w:right w:val="single" w:color="7BA0CD"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58">
    <w:name w:val="Medium Shading 1 Accent 2"/>
    <w:basedOn w:val="33"/>
    <w:qFormat/>
    <w:uiPriority w:val="63"/>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shd w:val="clear" w:color="auto" w:fill="C0504D" w:themeFill="accent2"/>
      </w:tcPr>
    </w:tblStylePr>
    <w:tblStylePr w:type="lastRow">
      <w:pPr>
        <w:spacing w:before="0" w:after="0" w:line="240" w:lineRule="auto"/>
      </w:pPr>
      <w:rPr>
        <w:b/>
        <w:bCs/>
      </w:rPr>
      <w:tblPr/>
      <w:tcPr>
        <w:tcBorders>
          <w:top w:val="double" w:color="CF7B79" w:themeColor="accent2" w:themeTint="BF" w:sz="6" w:space="0"/>
          <w:left w:val="single" w:color="CF7B79" w:themeColor="accent2" w:themeTint="BF" w:sz="8" w:space="0"/>
          <w:bottom w:val="single" w:color="CF7B79" w:themeColor="accent2" w:themeTint="BF" w:sz="8" w:space="0"/>
          <w:right w:val="single" w:color="CF7B79"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EFD3D3" w:themeFill="accent2" w:themeFillTint="3F"/>
      </w:tcPr>
    </w:tblStylePr>
    <w:tblStylePr w:type="band1Horz">
      <w:tblPr/>
      <w:tcPr>
        <w:tcBorders>
          <w:insideH w:val="nil"/>
          <w:insideV w:val="nil"/>
        </w:tcBorders>
        <w:shd w:val="clear" w:color="auto" w:fill="EFD3D3" w:themeFill="accent2" w:themeFillTint="3F"/>
      </w:tcPr>
    </w:tblStylePr>
    <w:tblStylePr w:type="band2Horz">
      <w:tblPr/>
      <w:tcPr>
        <w:tcBorders>
          <w:insideH w:val="nil"/>
          <w:insideV w:val="nil"/>
        </w:tcBorders>
      </w:tcPr>
    </w:tblStylePr>
  </w:style>
  <w:style w:type="table" w:styleId="59">
    <w:name w:val="Medium Shading 1 Accent 3"/>
    <w:basedOn w:val="33"/>
    <w:qFormat/>
    <w:uiPriority w:val="63"/>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shd w:val="clear" w:color="auto" w:fill="9BBB59" w:themeFill="accent3"/>
      </w:tcPr>
    </w:tblStylePr>
    <w:tblStylePr w:type="lastRow">
      <w:pPr>
        <w:spacing w:before="0" w:after="0" w:line="240" w:lineRule="auto"/>
      </w:pPr>
      <w:rPr>
        <w:b/>
        <w:bCs/>
      </w:rPr>
      <w:tblPr/>
      <w:tcPr>
        <w:tcBorders>
          <w:top w:val="double" w:color="B4CC82" w:themeColor="accent3" w:themeTint="BF" w:sz="6" w:space="0"/>
          <w:left w:val="single" w:color="B4CC82" w:themeColor="accent3" w:themeTint="BF" w:sz="8" w:space="0"/>
          <w:bottom w:val="single" w:color="B4CC82" w:themeColor="accent3" w:themeTint="BF" w:sz="8" w:space="0"/>
          <w:right w:val="single" w:color="B4CC82"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60">
    <w:name w:val="Medium Shading 1 Accent 4"/>
    <w:basedOn w:val="33"/>
    <w:qFormat/>
    <w:uiPriority w:val="63"/>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shd w:val="clear" w:color="auto" w:fill="8064A2" w:themeFill="accent4"/>
      </w:tcPr>
    </w:tblStylePr>
    <w:tblStylePr w:type="lastRow">
      <w:pPr>
        <w:spacing w:before="0" w:after="0" w:line="240" w:lineRule="auto"/>
      </w:pPr>
      <w:rPr>
        <w:b/>
        <w:bCs/>
      </w:rPr>
      <w:tblPr/>
      <w:tcPr>
        <w:tcBorders>
          <w:top w:val="double" w:color="9F8AB9" w:themeColor="accent4" w:themeTint="BF" w:sz="6" w:space="0"/>
          <w:left w:val="single" w:color="9F8AB9" w:themeColor="accent4" w:themeTint="BF" w:sz="8" w:space="0"/>
          <w:bottom w:val="single" w:color="9F8AB9" w:themeColor="accent4" w:themeTint="BF" w:sz="8" w:space="0"/>
          <w:right w:val="single" w:color="9F8AB9"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61">
    <w:name w:val="Medium Shading 1 Accent 5"/>
    <w:basedOn w:val="33"/>
    <w:qFormat/>
    <w:uiPriority w:val="63"/>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shd w:val="clear" w:color="auto" w:fill="4BACC6" w:themeFill="accent5"/>
      </w:tcPr>
    </w:tblStylePr>
    <w:tblStylePr w:type="lastRow">
      <w:pPr>
        <w:spacing w:before="0" w:after="0" w:line="240" w:lineRule="auto"/>
      </w:pPr>
      <w:rPr>
        <w:b/>
        <w:bCs/>
      </w:rPr>
      <w:tblPr/>
      <w:tcPr>
        <w:tcBorders>
          <w:top w:val="double" w:color="78C0D4" w:themeColor="accent5" w:themeTint="BF" w:sz="6" w:space="0"/>
          <w:left w:val="single" w:color="78C0D4" w:themeColor="accent5" w:themeTint="BF" w:sz="8" w:space="0"/>
          <w:bottom w:val="single" w:color="78C0D4" w:themeColor="accent5" w:themeTint="BF" w:sz="8" w:space="0"/>
          <w:right w:val="single" w:color="78C0D4"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D2EAF0" w:themeFill="accent5" w:themeFillTint="3F"/>
      </w:tcPr>
    </w:tblStylePr>
    <w:tblStylePr w:type="band1Horz">
      <w:tblPr/>
      <w:tcPr>
        <w:tcBorders>
          <w:insideH w:val="nil"/>
          <w:insideV w:val="nil"/>
        </w:tcBorders>
        <w:shd w:val="clear" w:color="auto" w:fill="D2EAF0" w:themeFill="accent5" w:themeFillTint="3F"/>
      </w:tcPr>
    </w:tblStylePr>
    <w:tblStylePr w:type="band2Horz">
      <w:tblPr/>
      <w:tcPr>
        <w:tcBorders>
          <w:insideH w:val="nil"/>
          <w:insideV w:val="nil"/>
        </w:tcBorders>
      </w:tcPr>
    </w:tblStylePr>
  </w:style>
  <w:style w:type="table" w:styleId="62">
    <w:name w:val="Medium Shading 1 Accent 6"/>
    <w:basedOn w:val="33"/>
    <w:qFormat/>
    <w:uiPriority w:val="63"/>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shd w:val="clear" w:color="auto" w:fill="F79646" w:themeFill="accent6"/>
      </w:tcPr>
    </w:tblStylePr>
    <w:tblStylePr w:type="lastRow">
      <w:pPr>
        <w:spacing w:before="0" w:after="0" w:line="240" w:lineRule="auto"/>
      </w:pPr>
      <w:rPr>
        <w:b/>
        <w:bCs/>
      </w:rPr>
      <w:tblPr/>
      <w:tcPr>
        <w:tcBorders>
          <w:top w:val="double" w:color="F9B074" w:themeColor="accent6" w:themeTint="BF" w:sz="6" w:space="0"/>
          <w:left w:val="single" w:color="F9B074" w:themeColor="accent6" w:themeTint="BF" w:sz="8" w:space="0"/>
          <w:bottom w:val="single" w:color="F9B074" w:themeColor="accent6" w:themeTint="BF" w:sz="8" w:space="0"/>
          <w:right w:val="single" w:color="F9B074"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DE5D1" w:themeFill="accent6" w:themeFillTint="3F"/>
      </w:tcPr>
    </w:tblStylePr>
    <w:tblStylePr w:type="band1Horz">
      <w:tblPr/>
      <w:tcPr>
        <w:tcBorders>
          <w:insideH w:val="nil"/>
          <w:insideV w:val="nil"/>
        </w:tcBorders>
        <w:shd w:val="clear" w:color="auto" w:fill="FDE5D1" w:themeFill="accent6" w:themeFillTint="3F"/>
      </w:tcPr>
    </w:tblStylePr>
    <w:tblStylePr w:type="band2Horz">
      <w:tblPr/>
      <w:tcPr>
        <w:tcBorders>
          <w:insideH w:val="nil"/>
          <w:insideV w:val="nil"/>
        </w:tcBorders>
      </w:tcPr>
    </w:tblStylePr>
  </w:style>
  <w:style w:type="table" w:styleId="63">
    <w:name w:val="Medium Shading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4">
    <w:name w:val="Medium Shading 2 Accent 1"/>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F81BD"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5">
    <w:name w:val="Medium Shading 2 Accent 2"/>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C0504D"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6">
    <w:name w:val="Medium Shading 2 Accent 3"/>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9BBB59"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7">
    <w:name w:val="Medium Shading 2 Accent 4"/>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8064A2"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8">
    <w:name w:val="Medium Shading 2 Accent 5"/>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4BACC6"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69">
    <w:name w:val="Medium Shading 2 Accent 6"/>
    <w:basedOn w:val="33"/>
    <w:qFormat/>
    <w:uiPriority w:val="64"/>
    <w:pPr>
      <w:spacing w:after="0" w:line="240" w:lineRule="auto"/>
    </w:pPr>
    <w:tblPr>
      <w:tblBorders>
        <w:top w:val="single" w:color="auto" w:sz="18" w:space="0"/>
        <w:bottom w:val="single" w:color="auto" w:sz="18" w:space="0"/>
      </w:tblBorders>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F79646"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table" w:styleId="70">
    <w:name w:val="Medium List 1"/>
    <w:basedOn w:val="33"/>
    <w:qFormat/>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1F497D"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71">
    <w:name w:val="Medium List 1 Accent 1"/>
    <w:basedOn w:val="33"/>
    <w:qFormat/>
    <w:uiPriority w:val="65"/>
    <w:pPr>
      <w:spacing w:after="0" w:line="240" w:lineRule="auto"/>
    </w:pPr>
    <w:rPr>
      <w:color w:val="000000" w:themeColor="text1"/>
      <w14:textFill>
        <w14:solidFill>
          <w14:schemeClr w14:val="tx1"/>
        </w14:solidFill>
      </w14:textFill>
    </w:rPr>
    <w:tblPr>
      <w:tblBorders>
        <w:top w:val="single" w:color="4F81BD" w:themeColor="accent1" w:sz="8" w:space="0"/>
        <w:bottom w:val="single" w:color="4F81BD" w:themeColor="accent1"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F81BD" w:themeColor="accent1" w:sz="8" w:space="0"/>
        </w:tcBorders>
      </w:tcPr>
    </w:tblStylePr>
    <w:tblStylePr w:type="lastRow">
      <w:rPr>
        <w:b/>
        <w:bCs/>
        <w:color w:val="1F497D" w:themeColor="text2"/>
        <w14:textFill>
          <w14:solidFill>
            <w14:schemeClr w14:val="tx2"/>
          </w14:solidFill>
        </w14:textFill>
      </w:rPr>
      <w:tblPr/>
      <w:tcPr>
        <w:tcBorders>
          <w:top w:val="single" w:color="4F81BD" w:themeColor="accent1" w:sz="8" w:space="0"/>
          <w:bottom w:val="single" w:color="4F81BD" w:themeColor="accent1" w:sz="8" w:space="0"/>
        </w:tcBorders>
      </w:tcPr>
    </w:tblStylePr>
    <w:tblStylePr w:type="firstCol">
      <w:rPr>
        <w:b/>
        <w:bCs/>
      </w:rPr>
    </w:tblStylePr>
    <w:tblStylePr w:type="lastCol">
      <w:rPr>
        <w:b/>
        <w:bCs/>
      </w:rPr>
      <w:tblPr/>
      <w:tcPr>
        <w:tcBorders>
          <w:top w:val="single" w:color="4F81BD" w:themeColor="accent1" w:sz="8" w:space="0"/>
          <w:bottom w:val="single" w:color="4F81BD" w:themeColor="accent1" w:sz="8" w:space="0"/>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72">
    <w:name w:val="Medium List 1 Accent 2"/>
    <w:basedOn w:val="33"/>
    <w:qFormat/>
    <w:uiPriority w:val="65"/>
    <w:pPr>
      <w:spacing w:after="0" w:line="240" w:lineRule="auto"/>
    </w:pPr>
    <w:rPr>
      <w:color w:val="000000" w:themeColor="text1"/>
      <w14:textFill>
        <w14:solidFill>
          <w14:schemeClr w14:val="tx1"/>
        </w14:solidFill>
      </w14:textFill>
    </w:rPr>
    <w:tblPr>
      <w:tblBorders>
        <w:top w:val="single" w:color="C0504D" w:themeColor="accent2" w:sz="8" w:space="0"/>
        <w:bottom w:val="single" w:color="C0504D" w:themeColor="accent2"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C0504D" w:themeColor="accent2" w:sz="8" w:space="0"/>
        </w:tcBorders>
      </w:tcPr>
    </w:tblStylePr>
    <w:tblStylePr w:type="lastRow">
      <w:rPr>
        <w:b/>
        <w:bCs/>
        <w:color w:val="1F497D" w:themeColor="text2"/>
        <w14:textFill>
          <w14:solidFill>
            <w14:schemeClr w14:val="tx2"/>
          </w14:solidFill>
        </w14:textFill>
      </w:rPr>
      <w:tblPr/>
      <w:tcPr>
        <w:tcBorders>
          <w:top w:val="single" w:color="C0504D" w:themeColor="accent2" w:sz="8" w:space="0"/>
          <w:bottom w:val="single" w:color="C0504D" w:themeColor="accent2" w:sz="8" w:space="0"/>
        </w:tcBorders>
      </w:tcPr>
    </w:tblStylePr>
    <w:tblStylePr w:type="firstCol">
      <w:rPr>
        <w:b/>
        <w:bCs/>
      </w:rPr>
    </w:tblStylePr>
    <w:tblStylePr w:type="lastCol">
      <w:rPr>
        <w:b/>
        <w:bCs/>
      </w:rPr>
      <w:tblPr/>
      <w:tcPr>
        <w:tcBorders>
          <w:top w:val="single" w:color="C0504D" w:themeColor="accent2" w:sz="8" w:space="0"/>
          <w:bottom w:val="single" w:color="C0504D" w:themeColor="accent2" w:sz="8" w:space="0"/>
        </w:tcBorders>
      </w:tcPr>
    </w:tblStylePr>
    <w:tblStylePr w:type="band1Vert">
      <w:tblPr/>
      <w:tcPr>
        <w:shd w:val="clear" w:color="auto" w:fill="EFD3D3" w:themeFill="accent2" w:themeFillTint="3F"/>
      </w:tcPr>
    </w:tblStylePr>
    <w:tblStylePr w:type="band1Horz">
      <w:tblPr/>
      <w:tcPr>
        <w:shd w:val="clear" w:color="auto" w:fill="EFD3D3" w:themeFill="accent2" w:themeFillTint="3F"/>
      </w:tcPr>
    </w:tblStylePr>
  </w:style>
  <w:style w:type="table" w:styleId="73">
    <w:name w:val="Medium List 1 Accent 3"/>
    <w:basedOn w:val="33"/>
    <w:qFormat/>
    <w:uiPriority w:val="65"/>
    <w:pPr>
      <w:spacing w:after="0" w:line="240" w:lineRule="auto"/>
    </w:pPr>
    <w:rPr>
      <w:color w:val="000000" w:themeColor="text1"/>
      <w14:textFill>
        <w14:solidFill>
          <w14:schemeClr w14:val="tx1"/>
        </w14:solidFill>
      </w14:textFill>
    </w:rPr>
    <w:tblPr>
      <w:tblBorders>
        <w:top w:val="single" w:color="9BBB59" w:themeColor="accent3" w:sz="8" w:space="0"/>
        <w:bottom w:val="single" w:color="9BBB59" w:themeColor="accent3"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9BBB59" w:themeColor="accent3" w:sz="8" w:space="0"/>
        </w:tcBorders>
      </w:tcPr>
    </w:tblStylePr>
    <w:tblStylePr w:type="lastRow">
      <w:rPr>
        <w:b/>
        <w:bCs/>
        <w:color w:val="1F497D" w:themeColor="text2"/>
        <w14:textFill>
          <w14:solidFill>
            <w14:schemeClr w14:val="tx2"/>
          </w14:solidFill>
        </w14:textFill>
      </w:rPr>
      <w:tblPr/>
      <w:tcPr>
        <w:tcBorders>
          <w:top w:val="single" w:color="9BBB59" w:themeColor="accent3" w:sz="8" w:space="0"/>
          <w:bottom w:val="single" w:color="9BBB59" w:themeColor="accent3" w:sz="8" w:space="0"/>
        </w:tcBorders>
      </w:tcPr>
    </w:tblStylePr>
    <w:tblStylePr w:type="firstCol">
      <w:rPr>
        <w:b/>
        <w:bCs/>
      </w:rPr>
    </w:tblStylePr>
    <w:tblStylePr w:type="lastCol">
      <w:rPr>
        <w:b/>
        <w:bCs/>
      </w:rPr>
      <w:tblPr/>
      <w:tcPr>
        <w:tcBorders>
          <w:top w:val="single" w:color="9BBB59" w:themeColor="accent3" w:sz="8" w:space="0"/>
          <w:bottom w:val="single" w:color="9BBB59" w:themeColor="accent3" w:sz="8" w:space="0"/>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74">
    <w:name w:val="Medium List 1 Accent 4"/>
    <w:basedOn w:val="33"/>
    <w:qFormat/>
    <w:uiPriority w:val="65"/>
    <w:pPr>
      <w:spacing w:after="0" w:line="240" w:lineRule="auto"/>
    </w:pPr>
    <w:rPr>
      <w:color w:val="000000" w:themeColor="text1"/>
      <w14:textFill>
        <w14:solidFill>
          <w14:schemeClr w14:val="tx1"/>
        </w14:solidFill>
      </w14:textFill>
    </w:rPr>
    <w:tblPr>
      <w:tblBorders>
        <w:top w:val="single" w:color="8064A2" w:themeColor="accent4" w:sz="8" w:space="0"/>
        <w:bottom w:val="single" w:color="8064A2" w:themeColor="accent4"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8064A2" w:themeColor="accent4" w:sz="8" w:space="0"/>
        </w:tcBorders>
      </w:tcPr>
    </w:tblStylePr>
    <w:tblStylePr w:type="lastRow">
      <w:rPr>
        <w:b/>
        <w:bCs/>
        <w:color w:val="1F497D" w:themeColor="text2"/>
        <w14:textFill>
          <w14:solidFill>
            <w14:schemeClr w14:val="tx2"/>
          </w14:solidFill>
        </w14:textFill>
      </w:rPr>
      <w:tblPr/>
      <w:tcPr>
        <w:tcBorders>
          <w:top w:val="single" w:color="8064A2" w:themeColor="accent4" w:sz="8" w:space="0"/>
          <w:bottom w:val="single" w:color="8064A2" w:themeColor="accent4" w:sz="8" w:space="0"/>
        </w:tcBorders>
      </w:tcPr>
    </w:tblStylePr>
    <w:tblStylePr w:type="firstCol">
      <w:rPr>
        <w:b/>
        <w:bCs/>
      </w:rPr>
    </w:tblStylePr>
    <w:tblStylePr w:type="lastCol">
      <w:rPr>
        <w:b/>
        <w:bCs/>
      </w:rPr>
      <w:tblPr/>
      <w:tcPr>
        <w:tcBorders>
          <w:top w:val="single" w:color="8064A2" w:themeColor="accent4" w:sz="8" w:space="0"/>
          <w:bottom w:val="single" w:color="8064A2" w:themeColor="accent4" w:sz="8" w:space="0"/>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75">
    <w:name w:val="Medium List 1 Accent 5"/>
    <w:basedOn w:val="33"/>
    <w:qFormat/>
    <w:uiPriority w:val="65"/>
    <w:pPr>
      <w:spacing w:after="0" w:line="240" w:lineRule="auto"/>
    </w:pPr>
    <w:rPr>
      <w:color w:val="000000" w:themeColor="text1"/>
      <w14:textFill>
        <w14:solidFill>
          <w14:schemeClr w14:val="tx1"/>
        </w14:solidFill>
      </w14:textFill>
    </w:rPr>
    <w:tblPr>
      <w:tblBorders>
        <w:top w:val="single" w:color="4BACC6" w:themeColor="accent5" w:sz="8" w:space="0"/>
        <w:bottom w:val="single" w:color="4BACC6" w:themeColor="accent5"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4BACC6" w:themeColor="accent5" w:sz="8" w:space="0"/>
        </w:tcBorders>
      </w:tcPr>
    </w:tblStylePr>
    <w:tblStylePr w:type="lastRow">
      <w:rPr>
        <w:b/>
        <w:bCs/>
        <w:color w:val="1F497D" w:themeColor="text2"/>
        <w14:textFill>
          <w14:solidFill>
            <w14:schemeClr w14:val="tx2"/>
          </w14:solidFill>
        </w14:textFill>
      </w:rPr>
      <w:tblPr/>
      <w:tcPr>
        <w:tcBorders>
          <w:top w:val="single" w:color="4BACC6" w:themeColor="accent5" w:sz="8" w:space="0"/>
          <w:bottom w:val="single" w:color="4BACC6" w:themeColor="accent5" w:sz="8" w:space="0"/>
        </w:tcBorders>
      </w:tcPr>
    </w:tblStylePr>
    <w:tblStylePr w:type="firstCol">
      <w:rPr>
        <w:b/>
        <w:bCs/>
      </w:rPr>
    </w:tblStylePr>
    <w:tblStylePr w:type="lastCol">
      <w:rPr>
        <w:b/>
        <w:bCs/>
      </w:rPr>
      <w:tblPr/>
      <w:tcPr>
        <w:tcBorders>
          <w:top w:val="single" w:color="4BACC6" w:themeColor="accent5" w:sz="8" w:space="0"/>
          <w:bottom w:val="single" w:color="4BACC6" w:themeColor="accent5" w:sz="8" w:space="0"/>
        </w:tcBorders>
      </w:tcPr>
    </w:tblStylePr>
    <w:tblStylePr w:type="band1Vert">
      <w:tblPr/>
      <w:tcPr>
        <w:shd w:val="clear" w:color="auto" w:fill="D2EAF0" w:themeFill="accent5" w:themeFillTint="3F"/>
      </w:tcPr>
    </w:tblStylePr>
    <w:tblStylePr w:type="band1Horz">
      <w:tblPr/>
      <w:tcPr>
        <w:shd w:val="clear" w:color="auto" w:fill="D2EAF0" w:themeFill="accent5" w:themeFillTint="3F"/>
      </w:tcPr>
    </w:tblStylePr>
  </w:style>
  <w:style w:type="table" w:styleId="76">
    <w:name w:val="Medium List 1 Accent 6"/>
    <w:basedOn w:val="33"/>
    <w:qFormat/>
    <w:uiPriority w:val="65"/>
    <w:pPr>
      <w:spacing w:after="0" w:line="240" w:lineRule="auto"/>
    </w:pPr>
    <w:rPr>
      <w:color w:val="000000" w:themeColor="text1"/>
      <w14:textFill>
        <w14:solidFill>
          <w14:schemeClr w14:val="tx1"/>
        </w14:solidFill>
      </w14:textFill>
    </w:rPr>
    <w:tblPr>
      <w:tblBorders>
        <w:top w:val="single" w:color="F79646" w:themeColor="accent6" w:sz="8" w:space="0"/>
        <w:bottom w:val="single" w:color="F79646" w:themeColor="accent6" w:sz="8" w:space="0"/>
      </w:tblBorders>
      <w:tblCellMar>
        <w:top w:w="0" w:type="dxa"/>
        <w:left w:w="108" w:type="dxa"/>
        <w:bottom w:w="0" w:type="dxa"/>
        <w:right w:w="108" w:type="dxa"/>
      </w:tblCellMar>
    </w:tblPr>
    <w:tblStylePr w:type="firstRow">
      <w:rPr>
        <w:rFonts w:asciiTheme="majorHAnsi" w:hAnsiTheme="majorHAnsi" w:eastAsiaTheme="majorEastAsia" w:cstheme="majorBidi"/>
      </w:rPr>
      <w:tblPr/>
      <w:tcPr>
        <w:tcBorders>
          <w:top w:val="nil"/>
          <w:bottom w:val="single" w:color="F79646" w:themeColor="accent6" w:sz="8" w:space="0"/>
        </w:tcBorders>
      </w:tcPr>
    </w:tblStylePr>
    <w:tblStylePr w:type="lastRow">
      <w:rPr>
        <w:b/>
        <w:bCs/>
        <w:color w:val="1F497D" w:themeColor="text2"/>
        <w14:textFill>
          <w14:solidFill>
            <w14:schemeClr w14:val="tx2"/>
          </w14:solidFill>
        </w14:textFill>
      </w:rPr>
      <w:tblPr/>
      <w:tcPr>
        <w:tcBorders>
          <w:top w:val="single" w:color="F79646" w:themeColor="accent6" w:sz="8" w:space="0"/>
          <w:bottom w:val="single" w:color="F79646" w:themeColor="accent6" w:sz="8" w:space="0"/>
        </w:tcBorders>
      </w:tcPr>
    </w:tblStylePr>
    <w:tblStylePr w:type="firstCol">
      <w:rPr>
        <w:b/>
        <w:bCs/>
      </w:rPr>
    </w:tblStylePr>
    <w:tblStylePr w:type="lastCol">
      <w:rPr>
        <w:b/>
        <w:bCs/>
      </w:rPr>
      <w:tblPr/>
      <w:tcPr>
        <w:tcBorders>
          <w:top w:val="single" w:color="F79646" w:themeColor="accent6" w:sz="8" w:space="0"/>
          <w:bottom w:val="single" w:color="F79646" w:themeColor="accent6" w:sz="8" w:space="0"/>
        </w:tcBorders>
      </w:tcPr>
    </w:tblStylePr>
    <w:tblStylePr w:type="band1Vert">
      <w:tblPr/>
      <w:tcPr>
        <w:shd w:val="clear" w:color="auto" w:fill="FDE5D1" w:themeFill="accent6" w:themeFillTint="3F"/>
      </w:tcPr>
    </w:tblStylePr>
    <w:tblStylePr w:type="band1Horz">
      <w:tblPr/>
      <w:tcPr>
        <w:shd w:val="clear" w:color="auto" w:fill="FDE5D1" w:themeFill="accent6" w:themeFillTint="3F"/>
      </w:tcPr>
    </w:tblStylePr>
  </w:style>
  <w:style w:type="table" w:styleId="77">
    <w:name w:val="Medium Lis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CellMar>
        <w:top w:w="0" w:type="dxa"/>
        <w:left w:w="108" w:type="dxa"/>
        <w:bottom w:w="0" w:type="dxa"/>
        <w:right w:w="108" w:type="dxa"/>
      </w:tblCellMar>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single" w:color="000000" w:themeColor="tex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78">
    <w:name w:val="Medium List 2 Accent 1"/>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CellMar>
        <w:top w:w="0" w:type="dxa"/>
        <w:left w:w="108" w:type="dxa"/>
        <w:bottom w:w="0" w:type="dxa"/>
        <w:right w:w="108" w:type="dxa"/>
      </w:tblCellMar>
    </w:tblPr>
    <w:tblStylePr w:type="firstRow">
      <w:rPr>
        <w:sz w:val="24"/>
        <w:szCs w:val="24"/>
      </w:rPr>
      <w:tblPr/>
      <w:tcPr>
        <w:tcBorders>
          <w:top w:val="nil"/>
          <w:left w:val="nil"/>
          <w:bottom w:val="single" w:color="4F81BD" w:themeColor="accent1" w:sz="24" w:space="0"/>
          <w:right w:val="nil"/>
          <w:insideH w:val="nil"/>
          <w:insideV w:val="nil"/>
        </w:tcBorders>
        <w:shd w:val="clear" w:color="auto" w:fill="FFFFFF" w:themeFill="background1"/>
      </w:tcPr>
    </w:tblStylePr>
    <w:tblStylePr w:type="lastRow">
      <w:tblPr/>
      <w:tcPr>
        <w:tcBorders>
          <w:top w:val="single" w:color="4F81BD" w:themeColor="accent1"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F81BD" w:themeColor="accent1" w:sz="8" w:space="0"/>
          <w:insideH w:val="nil"/>
          <w:insideV w:val="nil"/>
        </w:tcBorders>
        <w:shd w:val="clear" w:color="auto" w:fill="FFFFFF" w:themeFill="background1"/>
      </w:tcPr>
    </w:tblStylePr>
    <w:tblStylePr w:type="lastCol">
      <w:tblPr/>
      <w:tcPr>
        <w:tcBorders>
          <w:top w:val="nil"/>
          <w:left w:val="single" w:color="4F81BD"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79">
    <w:name w:val="Medium List 2 Accent 2"/>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CellMar>
        <w:top w:w="0" w:type="dxa"/>
        <w:left w:w="108" w:type="dxa"/>
        <w:bottom w:w="0" w:type="dxa"/>
        <w:right w:w="108" w:type="dxa"/>
      </w:tblCellMar>
    </w:tblPr>
    <w:tblStylePr w:type="firstRow">
      <w:rPr>
        <w:sz w:val="24"/>
        <w:szCs w:val="24"/>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tblPr/>
      <w:tcPr>
        <w:tcBorders>
          <w:top w:val="single" w:color="C0504D" w:themeColor="accent2"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C0504D" w:themeColor="accent2" w:sz="8" w:space="0"/>
          <w:insideH w:val="nil"/>
          <w:insideV w:val="nil"/>
        </w:tcBorders>
        <w:shd w:val="clear" w:color="auto" w:fill="FFFFFF" w:themeFill="background1"/>
      </w:tcPr>
    </w:tblStylePr>
    <w:tblStylePr w:type="lastCol">
      <w:tblPr/>
      <w:tcPr>
        <w:tcBorders>
          <w:top w:val="nil"/>
          <w:left w:val="single" w:color="C0504D"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3" w:themeFill="accent2" w:themeFillTint="3F"/>
      </w:tcPr>
    </w:tblStylePr>
    <w:tblStylePr w:type="band1Horz">
      <w:tblPr/>
      <w:tcPr>
        <w:tcBorders>
          <w:top w:val="nil"/>
          <w:bottom w:val="nil"/>
          <w:insideH w:val="nil"/>
          <w:insideV w:val="nil"/>
        </w:tcBorders>
        <w:shd w:val="clear" w:color="auto" w:fill="EFD3D3"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80">
    <w:name w:val="Medium List 2 Accent 3"/>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CellMar>
        <w:top w:w="0" w:type="dxa"/>
        <w:left w:w="108" w:type="dxa"/>
        <w:bottom w:w="0" w:type="dxa"/>
        <w:right w:w="108" w:type="dxa"/>
      </w:tblCellMar>
    </w:tblPr>
    <w:tblStylePr w:type="firstRow">
      <w:rPr>
        <w:sz w:val="24"/>
        <w:szCs w:val="24"/>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tblPr/>
      <w:tcPr>
        <w:tcBorders>
          <w:top w:val="single" w:color="9BBB59" w:themeColor="accent3"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9BBB59" w:themeColor="accent3" w:sz="8" w:space="0"/>
          <w:insideH w:val="nil"/>
          <w:insideV w:val="nil"/>
        </w:tcBorders>
        <w:shd w:val="clear" w:color="auto" w:fill="FFFFFF" w:themeFill="background1"/>
      </w:tcPr>
    </w:tblStylePr>
    <w:tblStylePr w:type="lastCol">
      <w:tblPr/>
      <w:tcPr>
        <w:tcBorders>
          <w:top w:val="nil"/>
          <w:left w:val="single" w:color="9BBB59"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81">
    <w:name w:val="Medium List 2 Accent 4"/>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CellMar>
        <w:top w:w="0" w:type="dxa"/>
        <w:left w:w="108" w:type="dxa"/>
        <w:bottom w:w="0" w:type="dxa"/>
        <w:right w:w="108" w:type="dxa"/>
      </w:tblCellMar>
    </w:tblPr>
    <w:tblStylePr w:type="firstRow">
      <w:rPr>
        <w:sz w:val="24"/>
        <w:szCs w:val="24"/>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tblPr/>
      <w:tcPr>
        <w:tcBorders>
          <w:top w:val="single" w:color="8064A2" w:themeColor="accent4"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8064A2" w:themeColor="accent4" w:sz="8" w:space="0"/>
          <w:insideH w:val="nil"/>
          <w:insideV w:val="nil"/>
        </w:tcBorders>
        <w:shd w:val="clear" w:color="auto" w:fill="FFFFFF" w:themeFill="background1"/>
      </w:tcPr>
    </w:tblStylePr>
    <w:tblStylePr w:type="lastCol">
      <w:tblPr/>
      <w:tcPr>
        <w:tcBorders>
          <w:top w:val="nil"/>
          <w:left w:val="single" w:color="8064A2"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82">
    <w:name w:val="Medium List 2 Accent 5"/>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CellMar>
        <w:top w:w="0" w:type="dxa"/>
        <w:left w:w="108" w:type="dxa"/>
        <w:bottom w:w="0" w:type="dxa"/>
        <w:right w:w="108" w:type="dxa"/>
      </w:tblCellMar>
    </w:tblPr>
    <w:tblStylePr w:type="firstRow">
      <w:rPr>
        <w:sz w:val="24"/>
        <w:szCs w:val="24"/>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tblPr/>
      <w:tcPr>
        <w:tcBorders>
          <w:top w:val="single" w:color="4BACC6" w:themeColor="accent5"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4BACC6" w:themeColor="accent5" w:sz="8" w:space="0"/>
          <w:insideH w:val="nil"/>
          <w:insideV w:val="nil"/>
        </w:tcBorders>
        <w:shd w:val="clear" w:color="auto" w:fill="FFFFFF" w:themeFill="background1"/>
      </w:tcPr>
    </w:tblStylePr>
    <w:tblStylePr w:type="lastCol">
      <w:tblPr/>
      <w:tcPr>
        <w:tcBorders>
          <w:top w:val="nil"/>
          <w:left w:val="single" w:color="4BACC6"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0" w:themeFill="accent5" w:themeFillTint="3F"/>
      </w:tcPr>
    </w:tblStylePr>
    <w:tblStylePr w:type="band1Horz">
      <w:tblPr/>
      <w:tcPr>
        <w:tcBorders>
          <w:top w:val="nil"/>
          <w:bottom w:val="nil"/>
          <w:insideH w:val="nil"/>
          <w:insideV w:val="nil"/>
        </w:tcBorders>
        <w:shd w:val="clear" w:color="auto" w:fill="D2EAF0"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83">
    <w:name w:val="Medium List 2 Accent 6"/>
    <w:basedOn w:val="33"/>
    <w:qFormat/>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rPr>
        <w:sz w:val="24"/>
        <w:szCs w:val="24"/>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tblPr/>
      <w:tcPr>
        <w:tcBorders>
          <w:top w:val="single" w:color="F79646" w:themeColor="accent6" w:sz="8" w:space="0"/>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F79646" w:themeColor="accent6" w:sz="8" w:space="0"/>
          <w:insideH w:val="nil"/>
          <w:insideV w:val="nil"/>
        </w:tcBorders>
        <w:shd w:val="clear" w:color="auto" w:fill="FFFFFF" w:themeFill="background1"/>
      </w:tcPr>
    </w:tblStylePr>
    <w:tblStylePr w:type="lastCol">
      <w:tblPr/>
      <w:tcPr>
        <w:tcBorders>
          <w:top w:val="nil"/>
          <w:left w:val="single" w:color="F79646"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5D1" w:themeFill="accent6" w:themeFillTint="3F"/>
      </w:tcPr>
    </w:tblStylePr>
    <w:tblStylePr w:type="band1Horz">
      <w:tblPr/>
      <w:tcPr>
        <w:tcBorders>
          <w:top w:val="nil"/>
          <w:bottom w:val="nil"/>
          <w:insideH w:val="nil"/>
          <w:insideV w:val="nil"/>
        </w:tcBorders>
        <w:shd w:val="clear" w:color="auto" w:fill="FDE5D1"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84">
    <w:name w:val="Medium Grid 1"/>
    <w:basedOn w:val="33"/>
    <w:qFormat/>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CellMar>
        <w:top w:w="0" w:type="dxa"/>
        <w:left w:w="108" w:type="dxa"/>
        <w:bottom w:w="0" w:type="dxa"/>
        <w:right w:w="108" w:type="dxa"/>
      </w:tblCellMar>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85">
    <w:name w:val="Medium Grid 1 Accent 1"/>
    <w:basedOn w:val="33"/>
    <w:qFormat/>
    <w:uiPriority w:val="67"/>
    <w:pPr>
      <w:spacing w:after="0" w:line="240" w:lineRule="auto"/>
    </w:pPr>
    <w:tblPr>
      <w:tblBorders>
        <w:top w:val="single" w:color="7BA0CD" w:themeColor="accent1" w:themeTint="BF" w:sz="8" w:space="0"/>
        <w:left w:val="single" w:color="7BA0CD" w:themeColor="accent1" w:themeTint="BF" w:sz="8" w:space="0"/>
        <w:bottom w:val="single" w:color="7BA0CD" w:themeColor="accent1" w:themeTint="BF" w:sz="8" w:space="0"/>
        <w:right w:val="single" w:color="7BA0CD" w:themeColor="accent1" w:themeTint="BF" w:sz="8" w:space="0"/>
        <w:insideH w:val="single" w:color="7BA0CD" w:themeColor="accent1" w:themeTint="BF" w:sz="8" w:space="0"/>
        <w:insideV w:val="single" w:color="7BA0CD" w:themeColor="accent1" w:themeTint="BF" w:sz="8" w:space="0"/>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color="7BA0CD" w:themeColor="accent1" w:themeTint="BF" w:sz="18" w:space="0"/>
        </w:tcBorders>
      </w:tcPr>
    </w:tblStylePr>
    <w:tblStylePr w:type="firstCol">
      <w:rPr>
        <w:b/>
        <w:bCs/>
      </w:rPr>
    </w:tblStylePr>
    <w:tblStylePr w:type="lastCol">
      <w:rPr>
        <w:b/>
        <w:bCs/>
      </w:r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86">
    <w:name w:val="Medium Grid 1 Accent 2"/>
    <w:basedOn w:val="33"/>
    <w:qFormat/>
    <w:uiPriority w:val="67"/>
    <w:pPr>
      <w:spacing w:after="0" w:line="240" w:lineRule="auto"/>
    </w:p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blPr/>
      <w:tcPr>
        <w:tcBorders>
          <w:top w:val="single" w:color="CF7B79" w:themeColor="accent2" w:themeTint="BF" w:sz="18" w:space="0"/>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87">
    <w:name w:val="Medium Grid 1 Accent 3"/>
    <w:basedOn w:val="33"/>
    <w:qFormat/>
    <w:uiPriority w:val="67"/>
    <w:pPr>
      <w:spacing w:after="0" w:line="240" w:lineRule="auto"/>
    </w:pPr>
    <w:tblPr>
      <w:tblBorders>
        <w:top w:val="single" w:color="B4CC82" w:themeColor="accent3" w:themeTint="BF" w:sz="8" w:space="0"/>
        <w:left w:val="single" w:color="B4CC82" w:themeColor="accent3" w:themeTint="BF" w:sz="8" w:space="0"/>
        <w:bottom w:val="single" w:color="B4CC82" w:themeColor="accent3" w:themeTint="BF" w:sz="8" w:space="0"/>
        <w:right w:val="single" w:color="B4CC82" w:themeColor="accent3" w:themeTint="BF" w:sz="8" w:space="0"/>
        <w:insideH w:val="single" w:color="B4CC82" w:themeColor="accent3" w:themeTint="BF" w:sz="8" w:space="0"/>
        <w:insideV w:val="single" w:color="B4CC82" w:themeColor="accent3" w:themeTint="BF" w:sz="8" w:space="0"/>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color="B4CC82" w:themeColor="accent3" w:themeTint="BF" w:sz="18" w:space="0"/>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88">
    <w:name w:val="Medium Grid 1 Accent 4"/>
    <w:basedOn w:val="33"/>
    <w:qFormat/>
    <w:uiPriority w:val="67"/>
    <w:pPr>
      <w:spacing w:after="0" w:line="240" w:lineRule="auto"/>
    </w:pPr>
    <w:tblPr>
      <w:tblBorders>
        <w:top w:val="single" w:color="9F8AB9" w:themeColor="accent4" w:themeTint="BF" w:sz="8" w:space="0"/>
        <w:left w:val="single" w:color="9F8AB9" w:themeColor="accent4" w:themeTint="BF" w:sz="8" w:space="0"/>
        <w:bottom w:val="single" w:color="9F8AB9" w:themeColor="accent4" w:themeTint="BF" w:sz="8" w:space="0"/>
        <w:right w:val="single" w:color="9F8AB9" w:themeColor="accent4" w:themeTint="BF" w:sz="8" w:space="0"/>
        <w:insideH w:val="single" w:color="9F8AB9" w:themeColor="accent4" w:themeTint="BF" w:sz="8" w:space="0"/>
        <w:insideV w:val="single" w:color="9F8AB9" w:themeColor="accent4" w:themeTint="BF" w:sz="8" w:space="0"/>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color="9F8AB9" w:themeColor="accent4" w:themeTint="BF" w:sz="18" w:space="0"/>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89">
    <w:name w:val="Medium Grid 1 Accent 5"/>
    <w:basedOn w:val="33"/>
    <w:qFormat/>
    <w:uiPriority w:val="67"/>
    <w:pPr>
      <w:spacing w:after="0" w:line="240" w:lineRule="auto"/>
    </w:pPr>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CellMar>
        <w:top w:w="0" w:type="dxa"/>
        <w:left w:w="108" w:type="dxa"/>
        <w:bottom w:w="0" w:type="dxa"/>
        <w:right w:w="108" w:type="dxa"/>
      </w:tblCellMar>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90">
    <w:name w:val="Medium Grid 1 Accent 6"/>
    <w:basedOn w:val="33"/>
    <w:qFormat/>
    <w:uiPriority w:val="67"/>
    <w:pPr>
      <w:spacing w:after="0" w:line="240" w:lineRule="auto"/>
    </w:pPr>
    <w:tblPr>
      <w:tblBorders>
        <w:top w:val="single" w:color="F9B074" w:themeColor="accent6" w:themeTint="BF" w:sz="8" w:space="0"/>
        <w:left w:val="single" w:color="F9B074" w:themeColor="accent6" w:themeTint="BF" w:sz="8" w:space="0"/>
        <w:bottom w:val="single" w:color="F9B074" w:themeColor="accent6" w:themeTint="BF" w:sz="8" w:space="0"/>
        <w:right w:val="single" w:color="F9B074" w:themeColor="accent6" w:themeTint="BF" w:sz="8" w:space="0"/>
        <w:insideH w:val="single" w:color="F9B074" w:themeColor="accent6" w:themeTint="BF" w:sz="8" w:space="0"/>
        <w:insideV w:val="single" w:color="F9B074" w:themeColor="accent6" w:themeTint="BF" w:sz="8" w:space="0"/>
      </w:tblBorders>
      <w:tblCellMar>
        <w:top w:w="0" w:type="dxa"/>
        <w:left w:w="108" w:type="dxa"/>
        <w:bottom w:w="0" w:type="dxa"/>
        <w:right w:w="108" w:type="dxa"/>
      </w:tblCellMar>
    </w:tblPr>
    <w:tcPr>
      <w:shd w:val="clear" w:color="auto" w:fill="FDE5D1" w:themeFill="accent6" w:themeFillTint="3F"/>
    </w:tcPr>
    <w:tblStylePr w:type="firstRow">
      <w:rPr>
        <w:b/>
        <w:bCs/>
      </w:rPr>
    </w:tblStylePr>
    <w:tblStylePr w:type="lastRow">
      <w:rPr>
        <w:b/>
        <w:bCs/>
      </w:rPr>
      <w:tblPr/>
      <w:tcPr>
        <w:tcBorders>
          <w:top w:val="single" w:color="F9B074" w:themeColor="accent6" w:themeTint="BF" w:sz="18" w:space="0"/>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91">
    <w:name w:val="Medium Grid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CellMar>
        <w:top w:w="0" w:type="dxa"/>
        <w:left w:w="108" w:type="dxa"/>
        <w:bottom w:w="0" w:type="dxa"/>
        <w:right w:w="108" w:type="dxa"/>
      </w:tblCellMar>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92">
    <w:name w:val="Medium Grid 2 Accent 1"/>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14:textFill>
          <w14:solidFill>
            <w14:schemeClr w14:val="tx1"/>
          </w14:solidFill>
        </w14:textFill>
      </w:rPr>
      <w:tblPr/>
      <w:tcPr>
        <w:shd w:val="clear" w:color="auto" w:fill="EDF2F8"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C0DE" w:themeFill="accent1" w:themeFillTint="7F"/>
      </w:tcPr>
    </w:tblStylePr>
    <w:tblStylePr w:type="band1Horz">
      <w:tblPr/>
      <w:tcPr>
        <w:tcBorders>
          <w:insideH w:val="single" w:sz="6" w:space="0"/>
          <w:insideV w:val="single" w:sz="6" w:space="0"/>
        </w:tcBorders>
        <w:shd w:val="clear" w:color="auto" w:fill="A7C0DE" w:themeFill="accent1" w:themeFillTint="7F"/>
      </w:tcPr>
    </w:tblStylePr>
    <w:tblStylePr w:type="nwCell">
      <w:tblPr/>
      <w:tcPr>
        <w:shd w:val="clear" w:color="auto" w:fill="FFFFFF" w:themeFill="background1"/>
      </w:tcPr>
    </w:tblStylePr>
  </w:style>
  <w:style w:type="table" w:styleId="93">
    <w:name w:val="Medium Grid 2 Accent 2"/>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C0504D" w:themeColor="accent2" w:sz="8" w:space="0"/>
        <w:left w:val="single" w:color="C0504D" w:themeColor="accent2" w:sz="8" w:space="0"/>
        <w:bottom w:val="single" w:color="C0504D" w:themeColor="accent2" w:sz="8" w:space="0"/>
        <w:right w:val="single" w:color="C0504D" w:themeColor="accent2" w:sz="8" w:space="0"/>
        <w:insideH w:val="single" w:color="C0504D" w:themeColor="accent2" w:sz="8" w:space="0"/>
        <w:insideV w:val="single" w:color="C0504D" w:themeColor="accent2" w:sz="8" w:space="0"/>
      </w:tblBorders>
      <w:tblCellMar>
        <w:top w:w="0" w:type="dxa"/>
        <w:left w:w="108" w:type="dxa"/>
        <w:bottom w:w="0" w:type="dxa"/>
        <w:right w:w="108" w:type="dxa"/>
      </w:tblCellMar>
    </w:tblPr>
    <w:tcPr>
      <w:shd w:val="clear" w:color="auto" w:fill="EFD3D3" w:themeFill="accent2" w:themeFillTint="3F"/>
    </w:tcPr>
    <w:tblStylePr w:type="firstRow">
      <w:rPr>
        <w:b/>
        <w:bCs/>
        <w:color w:val="000000" w:themeColor="text1"/>
        <w14:textFill>
          <w14:solidFill>
            <w14:schemeClr w14:val="tx1"/>
          </w14:solidFill>
        </w14:textFill>
      </w:rPr>
      <w:tblPr/>
      <w:tcPr>
        <w:shd w:val="clear" w:color="auto" w:fill="F8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insideV w:val="single" w:sz="6" w:space="0"/>
        </w:tcBorders>
        <w:shd w:val="clear" w:color="auto" w:fill="DFA7A6" w:themeFill="accent2" w:themeFillTint="7F"/>
      </w:tcPr>
    </w:tblStylePr>
    <w:tblStylePr w:type="nwCell">
      <w:tblPr/>
      <w:tcPr>
        <w:shd w:val="clear" w:color="auto" w:fill="FFFFFF" w:themeFill="background1"/>
      </w:tcPr>
    </w:tblStylePr>
  </w:style>
  <w:style w:type="table" w:styleId="94">
    <w:name w:val="Medium Grid 2 Accent 3"/>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14:textFill>
          <w14:solidFill>
            <w14:schemeClr w14:val="tx1"/>
          </w14:solidFill>
        </w14:textFill>
      </w:rPr>
      <w:tblPr/>
      <w:tcPr>
        <w:shd w:val="clear" w:color="auto" w:fill="F5F8EE"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insideV w:val="single" w:sz="6" w:space="0"/>
        </w:tcBorders>
        <w:shd w:val="clear" w:color="auto" w:fill="CDDDAC" w:themeFill="accent3" w:themeFillTint="7F"/>
      </w:tcPr>
    </w:tblStylePr>
    <w:tblStylePr w:type="nwCell">
      <w:tblPr/>
      <w:tcPr>
        <w:shd w:val="clear" w:color="auto" w:fill="FFFFFF" w:themeFill="background1"/>
      </w:tcPr>
    </w:tblStylePr>
  </w:style>
  <w:style w:type="table" w:styleId="95">
    <w:name w:val="Medium Grid 2 Accent 4"/>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8064A2" w:themeColor="accent4" w:sz="8" w:space="0"/>
        <w:left w:val="single" w:color="8064A2" w:themeColor="accent4" w:sz="8" w:space="0"/>
        <w:bottom w:val="single" w:color="8064A2" w:themeColor="accent4" w:sz="8" w:space="0"/>
        <w:right w:val="single" w:color="8064A2" w:themeColor="accent4" w:sz="8" w:space="0"/>
        <w:insideH w:val="single" w:color="8064A2" w:themeColor="accent4" w:sz="8" w:space="0"/>
        <w:insideV w:val="single" w:color="8064A2" w:themeColor="accent4" w:sz="8" w:space="0"/>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14:textFill>
          <w14:solidFill>
            <w14:schemeClr w14:val="tx1"/>
          </w14:solidFill>
        </w14:textFill>
      </w:rPr>
      <w:tblPr/>
      <w:tcPr>
        <w:shd w:val="clear" w:color="auto" w:fill="F2EFF5"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insideV w:val="single" w:sz="6" w:space="0"/>
        </w:tcBorders>
        <w:shd w:val="clear" w:color="auto" w:fill="BFB1D0" w:themeFill="accent4" w:themeFillTint="7F"/>
      </w:tcPr>
    </w:tblStylePr>
    <w:tblStylePr w:type="nwCell">
      <w:tblPr/>
      <w:tcPr>
        <w:shd w:val="clear" w:color="auto" w:fill="FFFFFF" w:themeFill="background1"/>
      </w:tcPr>
    </w:tblStylePr>
  </w:style>
  <w:style w:type="table" w:styleId="96">
    <w:name w:val="Medium Grid 2 Accent 5"/>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cPr>
      <w:shd w:val="clear" w:color="auto" w:fill="D2EAF0" w:themeFill="accent5" w:themeFillTint="3F"/>
    </w:tcPr>
    <w:tblStylePr w:type="firstRow">
      <w:rPr>
        <w:b/>
        <w:bCs/>
        <w:color w:val="000000" w:themeColor="text1"/>
        <w14:textFill>
          <w14:solidFill>
            <w14:schemeClr w14:val="tx1"/>
          </w14:solidFill>
        </w14:textFill>
      </w:rPr>
      <w:tblPr/>
      <w:tcPr>
        <w:shd w:val="clear" w:color="auto" w:fill="EDF6F9"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insideV w:val="single" w:sz="6" w:space="0"/>
        </w:tcBorders>
        <w:shd w:val="clear" w:color="auto" w:fill="A5D5E2" w:themeFill="accent5" w:themeFillTint="7F"/>
      </w:tcPr>
    </w:tblStylePr>
    <w:tblStylePr w:type="nwCell">
      <w:tblPr/>
      <w:tcPr>
        <w:shd w:val="clear" w:color="auto" w:fill="FFFFFF" w:themeFill="background1"/>
      </w:tcPr>
    </w:tblStylePr>
  </w:style>
  <w:style w:type="table" w:styleId="97">
    <w:name w:val="Medium Grid 2 Accent 6"/>
    <w:basedOn w:val="33"/>
    <w:qFormat/>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F79646" w:themeColor="accent6" w:sz="8" w:space="0"/>
        <w:left w:val="single" w:color="F79646" w:themeColor="accent6" w:sz="8" w:space="0"/>
        <w:bottom w:val="single" w:color="F79646" w:themeColor="accent6" w:sz="8" w:space="0"/>
        <w:right w:val="single" w:color="F79646" w:themeColor="accent6" w:sz="8" w:space="0"/>
        <w:insideH w:val="single" w:color="F79646" w:themeColor="accent6" w:sz="8" w:space="0"/>
        <w:insideV w:val="single" w:color="F79646" w:themeColor="accent6" w:sz="8" w:space="0"/>
      </w:tblBorders>
      <w:tblCellMar>
        <w:top w:w="0" w:type="dxa"/>
        <w:left w:w="108" w:type="dxa"/>
        <w:bottom w:w="0" w:type="dxa"/>
        <w:right w:w="108" w:type="dxa"/>
      </w:tblCellMar>
    </w:tblPr>
    <w:tcPr>
      <w:shd w:val="clear" w:color="auto" w:fill="FDE5D1" w:themeFill="accent6" w:themeFillTint="3F"/>
    </w:tcPr>
    <w:tblStylePr w:type="firstRow">
      <w:rPr>
        <w:b/>
        <w:bCs/>
        <w:color w:val="000000" w:themeColor="text1"/>
        <w14:textFill>
          <w14:solidFill>
            <w14:schemeClr w14:val="tx1"/>
          </w14:solidFill>
        </w14:textFill>
      </w:rPr>
      <w:tblPr/>
      <w:tcPr>
        <w:shd w:val="clear" w:color="auto" w:fill="FEF4EC"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insideV w:val="single" w:sz="6" w:space="0"/>
        </w:tcBorders>
        <w:shd w:val="clear" w:color="auto" w:fill="FBCAA2" w:themeFill="accent6" w:themeFillTint="7F"/>
      </w:tcPr>
    </w:tblStylePr>
    <w:tblStylePr w:type="nwCell">
      <w:tblPr/>
      <w:tcPr>
        <w:shd w:val="clear" w:color="auto" w:fill="FFFFFF" w:themeFill="background1"/>
      </w:tcPr>
    </w:tblStylePr>
  </w:style>
  <w:style w:type="table" w:styleId="98">
    <w:name w:val="Medium Grid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99">
    <w:name w:val="Medium Grid 3 Accent 1"/>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F81BD"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F81BD"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F81BD"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F81BD"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7C0DE"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7C0DE" w:themeFill="accent1" w:themeFillTint="7F"/>
      </w:tcPr>
    </w:tblStylePr>
  </w:style>
  <w:style w:type="table" w:styleId="100">
    <w:name w:val="Medium Grid 3 Accent 2"/>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FD3D3"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C0504D"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C0504D"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C0504D"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C0504D"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FA7A6"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FA7A6" w:themeFill="accent2" w:themeFillTint="7F"/>
      </w:tcPr>
    </w:tblStylePr>
  </w:style>
  <w:style w:type="table" w:styleId="101">
    <w:name w:val="Medium Grid 3 Accent 3"/>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9BBB59"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9BBB59"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9BBB59"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9BBB59"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CDDDAC"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CDDDAC" w:themeFill="accent3" w:themeFillTint="7F"/>
      </w:tcPr>
    </w:tblStylePr>
  </w:style>
  <w:style w:type="table" w:styleId="102">
    <w:name w:val="Medium Grid 3 Accent 4"/>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8064A2"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8064A2"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8064A2"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8064A2"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FB1D0"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FB1D0" w:themeFill="accent4" w:themeFillTint="7F"/>
      </w:tcPr>
    </w:tblStylePr>
  </w:style>
  <w:style w:type="table" w:styleId="103">
    <w:name w:val="Medium Grid 3 Accent 5"/>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2EA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BACC6"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BACC6"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BACC6"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BACC6"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5D5E2"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5D5E2" w:themeFill="accent5" w:themeFillTint="7F"/>
      </w:tcPr>
    </w:tblStylePr>
  </w:style>
  <w:style w:type="table" w:styleId="104">
    <w:name w:val="Medium Grid 3 Accent 6"/>
    <w:basedOn w:val="33"/>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FDE5D1"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F79646"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F79646"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F79646"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F79646"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FBCAA2"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FBCAA2" w:themeFill="accent6" w:themeFillTint="7F"/>
      </w:tcPr>
    </w:tblStylePr>
  </w:style>
  <w:style w:type="table" w:styleId="105">
    <w:name w:val="Dark List"/>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106">
    <w:name w:val="Dark List Accent 1"/>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43F61"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366091"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366091" w:themeFill="accent1" w:themeFillShade="BF"/>
      </w:tcPr>
    </w:tblStylePr>
    <w:tblStylePr w:type="band1Vert">
      <w:tblPr/>
      <w:tcPr>
        <w:tcBorders>
          <w:top w:val="nil"/>
          <w:left w:val="nil"/>
          <w:bottom w:val="nil"/>
          <w:right w:val="nil"/>
          <w:insideH w:val="nil"/>
          <w:insideV w:val="nil"/>
        </w:tcBorders>
        <w:shd w:val="clear" w:color="auto" w:fill="366091" w:themeFill="accent1" w:themeFillShade="BF"/>
      </w:tcPr>
    </w:tblStylePr>
    <w:tblStylePr w:type="band1Horz">
      <w:tblPr/>
      <w:tcPr>
        <w:tcBorders>
          <w:top w:val="nil"/>
          <w:left w:val="nil"/>
          <w:bottom w:val="nil"/>
          <w:right w:val="nil"/>
          <w:insideH w:val="nil"/>
          <w:insideV w:val="nil"/>
        </w:tcBorders>
        <w:shd w:val="clear" w:color="auto" w:fill="366091" w:themeFill="accent1" w:themeFillShade="BF"/>
      </w:tcPr>
    </w:tblStylePr>
  </w:style>
  <w:style w:type="table" w:styleId="107">
    <w:name w:val="Dark List Accent 2"/>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943734"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943734" w:themeFill="accent2" w:themeFillShade="BF"/>
      </w:tcPr>
    </w:tblStylePr>
    <w:tblStylePr w:type="band1Vert">
      <w:tblPr/>
      <w:tcPr>
        <w:tcBorders>
          <w:top w:val="nil"/>
          <w:left w:val="nil"/>
          <w:bottom w:val="nil"/>
          <w:right w:val="nil"/>
          <w:insideH w:val="nil"/>
          <w:insideV w:val="nil"/>
        </w:tcBorders>
        <w:shd w:val="clear" w:color="auto" w:fill="943734" w:themeFill="accent2" w:themeFillShade="BF"/>
      </w:tcPr>
    </w:tblStylePr>
    <w:tblStylePr w:type="band1Horz">
      <w:tblPr/>
      <w:tcPr>
        <w:tcBorders>
          <w:top w:val="nil"/>
          <w:left w:val="nil"/>
          <w:bottom w:val="nil"/>
          <w:right w:val="nil"/>
          <w:insideH w:val="nil"/>
          <w:insideV w:val="nil"/>
        </w:tcBorders>
        <w:shd w:val="clear" w:color="auto" w:fill="943734" w:themeFill="accent2" w:themeFillShade="BF"/>
      </w:tcPr>
    </w:tblStylePr>
  </w:style>
  <w:style w:type="table" w:styleId="108">
    <w:name w:val="Dark List Accent 3"/>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4E6127"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76923C"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109">
    <w:name w:val="Dark List Accent 4"/>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F3051"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F497A"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110">
    <w:name w:val="Dark List Accent 5"/>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31849B"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111">
    <w:name w:val="Dark List Accent 6"/>
    <w:basedOn w:val="33"/>
    <w:qFormat/>
    <w:uiPriority w:val="70"/>
    <w:pPr>
      <w:spacing w:after="0" w:line="240" w:lineRule="auto"/>
    </w:pPr>
    <w:rPr>
      <w:color w:val="FFFFFF" w:themeColor="background1"/>
      <w14:textFill>
        <w14:solidFill>
          <w14:schemeClr w14:val="bg1"/>
        </w14:solidFill>
      </w14:textFill>
    </w:rPr>
    <w:tblPr>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E36C09"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E36C09" w:themeFill="accent6" w:themeFillShade="BF"/>
      </w:tcPr>
    </w:tblStylePr>
    <w:tblStylePr w:type="band1Vert">
      <w:tblPr/>
      <w:tcPr>
        <w:tcBorders>
          <w:top w:val="nil"/>
          <w:left w:val="nil"/>
          <w:bottom w:val="nil"/>
          <w:right w:val="nil"/>
          <w:insideH w:val="nil"/>
          <w:insideV w:val="nil"/>
        </w:tcBorders>
        <w:shd w:val="clear" w:color="auto" w:fill="E36C09" w:themeFill="accent6" w:themeFillShade="BF"/>
      </w:tcPr>
    </w:tblStylePr>
    <w:tblStylePr w:type="band1Horz">
      <w:tblPr/>
      <w:tcPr>
        <w:tcBorders>
          <w:top w:val="nil"/>
          <w:left w:val="nil"/>
          <w:bottom w:val="nil"/>
          <w:right w:val="nil"/>
          <w:insideH w:val="nil"/>
          <w:insideV w:val="nil"/>
        </w:tcBorders>
        <w:shd w:val="clear" w:color="auto" w:fill="E36C09" w:themeFill="accent6" w:themeFillShade="BF"/>
      </w:tcPr>
    </w:tblStylePr>
  </w:style>
  <w:style w:type="table" w:styleId="112">
    <w:name w:val="Colorful Shading"/>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5E5E5" w:themeFill="tex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3">
    <w:name w:val="Colorful Shading Accent 1"/>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4F81BD" w:themeColor="accent1" w:sz="4" w:space="0"/>
        <w:bottom w:val="single" w:color="4F81BD" w:themeColor="accent1" w:sz="4" w:space="0"/>
        <w:right w:val="single" w:color="4F81BD" w:themeColor="accent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B4D74"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B4D74"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B4D74" w:themeFill="accent1" w:themeFillShade="99"/>
      </w:tcPr>
    </w:tblStylePr>
    <w:tblStylePr w:type="band1Vert">
      <w:tblPr/>
      <w:tcPr>
        <w:shd w:val="clear" w:color="auto" w:fill="B8CCE4" w:themeFill="accent1" w:themeFillTint="66"/>
      </w:tcPr>
    </w:tblStylePr>
    <w:tblStylePr w:type="band1Horz">
      <w:tblPr/>
      <w:tcPr>
        <w:shd w:val="clear" w:color="auto" w:fill="A7C0DE"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4">
    <w:name w:val="Colorful Shading Accent 2"/>
    <w:basedOn w:val="33"/>
    <w:qFormat/>
    <w:uiPriority w:val="71"/>
    <w:pPr>
      <w:spacing w:after="0" w:line="240" w:lineRule="auto"/>
    </w:pPr>
    <w:rPr>
      <w:color w:val="000000" w:themeColor="text1"/>
      <w14:textFill>
        <w14:solidFill>
          <w14:schemeClr w14:val="tx1"/>
        </w14:solidFill>
      </w14:textFill>
    </w:rPr>
    <w:tblPr>
      <w:tblBorders>
        <w:top w:val="single" w:color="C0504D" w:themeColor="accent2" w:sz="24" w:space="0"/>
        <w:left w:val="single" w:color="C0504D" w:themeColor="accent2" w:sz="4" w:space="0"/>
        <w:bottom w:val="single" w:color="C0504D" w:themeColor="accent2" w:sz="4" w:space="0"/>
        <w:right w:val="single" w:color="C0504D" w:themeColor="accent2"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color="C0504D"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772C2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772C2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5">
    <w:name w:val="Colorful Shading Accent 3"/>
    <w:basedOn w:val="33"/>
    <w:qFormat/>
    <w:uiPriority w:val="71"/>
    <w:pPr>
      <w:spacing w:after="0" w:line="240" w:lineRule="auto"/>
    </w:pPr>
    <w:rPr>
      <w:color w:val="000000" w:themeColor="text1"/>
      <w14:textFill>
        <w14:solidFill>
          <w14:schemeClr w14:val="tx1"/>
        </w14:solidFill>
      </w14:textFill>
    </w:rPr>
    <w:tblPr>
      <w:tblBorders>
        <w:top w:val="single" w:color="8064A2" w:themeColor="accent4" w:sz="24" w:space="0"/>
        <w:left w:val="single" w:color="9BBB59" w:themeColor="accent3" w:sz="4" w:space="0"/>
        <w:bottom w:val="single" w:color="9BBB59" w:themeColor="accent3" w:sz="4" w:space="0"/>
        <w:right w:val="single" w:color="9BBB59" w:themeColor="accent3"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color="8064A2"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5E7530"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5E7530"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116">
    <w:name w:val="Colorful Shading Accent 4"/>
    <w:basedOn w:val="33"/>
    <w:qFormat/>
    <w:uiPriority w:val="71"/>
    <w:pPr>
      <w:spacing w:after="0" w:line="240" w:lineRule="auto"/>
    </w:pPr>
    <w:rPr>
      <w:color w:val="000000" w:themeColor="text1"/>
      <w14:textFill>
        <w14:solidFill>
          <w14:schemeClr w14:val="tx1"/>
        </w14:solidFill>
      </w14:textFill>
    </w:rPr>
    <w:tblPr>
      <w:tblBorders>
        <w:top w:val="single" w:color="9BBB59" w:themeColor="accent3" w:sz="24" w:space="0"/>
        <w:left w:val="single" w:color="8064A2" w:themeColor="accent4" w:sz="4" w:space="0"/>
        <w:bottom w:val="single" w:color="8064A2" w:themeColor="accent4" w:sz="4" w:space="0"/>
        <w:right w:val="single" w:color="8064A2" w:themeColor="accent4"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2EFF5" w:themeFill="accent4" w:themeFillTint="19"/>
    </w:tcPr>
    <w:tblStylePr w:type="firstRow">
      <w:rPr>
        <w:b/>
        <w:bCs/>
      </w:rPr>
      <w:tblPr/>
      <w:tcPr>
        <w:tcBorders>
          <w:top w:val="nil"/>
          <w:left w:val="nil"/>
          <w:bottom w:val="single" w:color="9BBB59"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C3A62"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C3A62"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C3A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7">
    <w:name w:val="Colorful Shading Accent 5"/>
    <w:basedOn w:val="33"/>
    <w:qFormat/>
    <w:uiPriority w:val="71"/>
    <w:pPr>
      <w:spacing w:after="0" w:line="240" w:lineRule="auto"/>
    </w:pPr>
    <w:rPr>
      <w:color w:val="000000" w:themeColor="text1"/>
      <w14:textFill>
        <w14:solidFill>
          <w14:schemeClr w14:val="tx1"/>
        </w14:solidFill>
      </w14:textFill>
    </w:rPr>
    <w:tblPr>
      <w:tblBorders>
        <w:top w:val="single" w:color="F79646" w:themeColor="accent6" w:sz="24" w:space="0"/>
        <w:left w:val="single" w:color="4BACC6" w:themeColor="accent5" w:sz="4" w:space="0"/>
        <w:bottom w:val="single" w:color="4BACC6" w:themeColor="accent5" w:sz="4" w:space="0"/>
        <w:right w:val="single" w:color="4BACC6" w:themeColor="accent5"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color="F79646"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76A7C"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76A7C"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8">
    <w:name w:val="Colorful Shading Accent 6"/>
    <w:basedOn w:val="33"/>
    <w:qFormat/>
    <w:uiPriority w:val="71"/>
    <w:pPr>
      <w:spacing w:after="0" w:line="240" w:lineRule="auto"/>
    </w:pPr>
    <w:rPr>
      <w:color w:val="000000" w:themeColor="text1"/>
      <w14:textFill>
        <w14:solidFill>
          <w14:schemeClr w14:val="tx1"/>
        </w14:solidFill>
      </w14:textFill>
    </w:rPr>
    <w:tblPr>
      <w:tblBorders>
        <w:top w:val="single" w:color="4BACC6" w:themeColor="accent5" w:sz="24" w:space="0"/>
        <w:left w:val="single" w:color="F79646" w:themeColor="accent6" w:sz="4" w:space="0"/>
        <w:bottom w:val="single" w:color="F79646" w:themeColor="accent6" w:sz="4" w:space="0"/>
        <w:right w:val="single" w:color="F79646" w:themeColor="accent6"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color="4BACC6"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B65607"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B65607"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B65607"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119">
    <w:name w:val="Colorful List"/>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120">
    <w:name w:val="Colorful List Accent 1"/>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121">
    <w:name w:val="Colorful List Accent 2"/>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9E3A38" w:themeFill="accent2" w:themeFillShade="CC"/>
      </w:tcPr>
    </w:tblStylePr>
    <w:tblStylePr w:type="lastRow">
      <w:rPr>
        <w:b/>
        <w:bCs/>
        <w:color w:val="9F3B38"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3" w:themeFill="accent2" w:themeFillTint="3F"/>
      </w:tcPr>
    </w:tblStylePr>
    <w:tblStylePr w:type="band1Horz">
      <w:tblPr/>
      <w:tcPr>
        <w:shd w:val="clear" w:color="auto" w:fill="F2DBDB" w:themeFill="accent2" w:themeFillTint="33"/>
      </w:tcPr>
    </w:tblStylePr>
  </w:style>
  <w:style w:type="table" w:styleId="122">
    <w:name w:val="Colorful List Accent 3"/>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664E82" w:themeFill="accent4" w:themeFillShade="CC"/>
      </w:tcPr>
    </w:tblStylePr>
    <w:tblStylePr w:type="lastRow">
      <w:rPr>
        <w:b/>
        <w:bCs/>
        <w:color w:val="664F83"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123">
    <w:name w:val="Colorful List Accent 4"/>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2EFF5"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7E9C40" w:themeFill="accent3" w:themeFillShade="CC"/>
      </w:tcPr>
    </w:tblStylePr>
    <w:tblStylePr w:type="lastRow">
      <w:rPr>
        <w:b/>
        <w:bCs/>
        <w:color w:val="7E9D40"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124">
    <w:name w:val="Colorful List Accent 5"/>
    <w:basedOn w:val="33"/>
    <w:qFormat/>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F3730A" w:themeFill="accent6" w:themeFillShade="CC"/>
      </w:tcPr>
    </w:tblStylePr>
    <w:tblStylePr w:type="lastRow">
      <w:rPr>
        <w:b/>
        <w:bCs/>
        <w:color w:val="F3740B"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0" w:themeFill="accent5" w:themeFillTint="3F"/>
      </w:tcPr>
    </w:tblStylePr>
    <w:tblStylePr w:type="band1Horz">
      <w:tblPr/>
      <w:tcPr>
        <w:shd w:val="clear" w:color="auto" w:fill="DAEEF3" w:themeFill="accent5" w:themeFillTint="33"/>
      </w:tcPr>
    </w:tblStylePr>
  </w:style>
  <w:style w:type="table" w:styleId="125">
    <w:name w:val="Colorful List Accent 6"/>
    <w:basedOn w:val="33"/>
    <w:uiPriority w:val="72"/>
    <w:pPr>
      <w:spacing w:after="0" w:line="240" w:lineRule="auto"/>
    </w:pPr>
    <w:rPr>
      <w:color w:val="000000" w:themeColor="text1"/>
      <w14:textFill>
        <w14:solidFill>
          <w14:schemeClr w14:val="tx1"/>
        </w14:solidFill>
      </w14:textFill>
    </w:rPr>
    <w:tblPr>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48DA5" w:themeFill="accent5" w:themeFillShade="CC"/>
      </w:tcPr>
    </w:tblStylePr>
    <w:tblStylePr w:type="lastRow">
      <w:rPr>
        <w:b/>
        <w:bCs/>
        <w:color w:val="358EA6"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5D1" w:themeFill="accent6" w:themeFillTint="3F"/>
      </w:tcPr>
    </w:tblStylePr>
    <w:tblStylePr w:type="band1Horz">
      <w:tblPr/>
      <w:tcPr>
        <w:shd w:val="clear" w:color="auto" w:fill="FDE9D9" w:themeFill="accent6" w:themeFillTint="33"/>
      </w:tcPr>
    </w:tblStylePr>
  </w:style>
  <w:style w:type="table" w:styleId="126">
    <w:name w:val="Colorful Grid"/>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127">
    <w:name w:val="Colorful Grid Accent 1"/>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14:textFill>
          <w14:solidFill>
            <w14:schemeClr w14:val="tx1"/>
          </w14:solidFill>
        </w14:textFill>
      </w:rPr>
      <w:tblPr/>
      <w:tcPr>
        <w:shd w:val="clear" w:color="auto" w:fill="B8CCE4" w:themeFill="accent1" w:themeFillTint="66"/>
      </w:tcPr>
    </w:tblStylePr>
    <w:tblStylePr w:type="firstCol">
      <w:rPr>
        <w:color w:val="FFFFFF" w:themeColor="background1"/>
        <w14:textFill>
          <w14:solidFill>
            <w14:schemeClr w14:val="bg1"/>
          </w14:solidFill>
        </w14:textFill>
      </w:rPr>
      <w:tblPr/>
      <w:tcPr>
        <w:shd w:val="clear" w:color="auto" w:fill="366091" w:themeFill="accent1" w:themeFillShade="BF"/>
      </w:tcPr>
    </w:tblStylePr>
    <w:tblStylePr w:type="lastCol">
      <w:rPr>
        <w:color w:val="FFFFFF" w:themeColor="background1"/>
        <w14:textFill>
          <w14:solidFill>
            <w14:schemeClr w14:val="bg1"/>
          </w14:solidFill>
        </w14:textFill>
      </w:rPr>
      <w:tblPr/>
      <w:tcPr>
        <w:shd w:val="clear" w:color="auto" w:fill="366091" w:themeFill="accent1" w:themeFillShade="BF"/>
      </w:tcPr>
    </w:tblStylePr>
    <w:tblStylePr w:type="band1Vert">
      <w:tblPr/>
      <w:tcPr>
        <w:shd w:val="clear" w:color="auto" w:fill="A7C0DE" w:themeFill="accent1" w:themeFillTint="7F"/>
      </w:tcPr>
    </w:tblStylePr>
    <w:tblStylePr w:type="band1Horz">
      <w:tblPr/>
      <w:tcPr>
        <w:shd w:val="clear" w:color="auto" w:fill="A7C0DE" w:themeFill="accent1" w:themeFillTint="7F"/>
      </w:tcPr>
    </w:tblStylePr>
  </w:style>
  <w:style w:type="table" w:styleId="128">
    <w:name w:val="Colorful Grid Accent 2"/>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14:textFill>
          <w14:solidFill>
            <w14:schemeClr w14:val="tx1"/>
          </w14:solidFill>
        </w14:textFill>
      </w:rPr>
      <w:tblPr/>
      <w:tcPr>
        <w:shd w:val="clear" w:color="auto" w:fill="E5B8B7" w:themeFill="accent2" w:themeFillTint="66"/>
      </w:tcPr>
    </w:tblStylePr>
    <w:tblStylePr w:type="firstCol">
      <w:rPr>
        <w:color w:val="FFFFFF" w:themeColor="background1"/>
        <w14:textFill>
          <w14:solidFill>
            <w14:schemeClr w14:val="bg1"/>
          </w14:solidFill>
        </w14:textFill>
      </w:rPr>
      <w:tblPr/>
      <w:tcPr>
        <w:shd w:val="clear" w:color="auto" w:fill="943734" w:themeFill="accent2" w:themeFillShade="BF"/>
      </w:tcPr>
    </w:tblStylePr>
    <w:tblStylePr w:type="lastCol">
      <w:rPr>
        <w:color w:val="FFFFFF" w:themeColor="background1"/>
        <w14:textFill>
          <w14:solidFill>
            <w14:schemeClr w14:val="bg1"/>
          </w14:solidFill>
        </w14:textFill>
      </w:rPr>
      <w:tblPr/>
      <w:tcPr>
        <w:shd w:val="clear" w:color="auto" w:fill="9437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129">
    <w:name w:val="Colorful Grid Accent 3"/>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14:textFill>
          <w14:solidFill>
            <w14:schemeClr w14:val="tx1"/>
          </w14:solidFill>
        </w14:textFill>
      </w:rPr>
      <w:tblPr/>
      <w:tcPr>
        <w:shd w:val="clear" w:color="auto" w:fill="D6E3BC" w:themeFill="accent3" w:themeFillTint="66"/>
      </w:tcPr>
    </w:tblStylePr>
    <w:tblStylePr w:type="firstCol">
      <w:rPr>
        <w:color w:val="FFFFFF" w:themeColor="background1"/>
        <w14:textFill>
          <w14:solidFill>
            <w14:schemeClr w14:val="bg1"/>
          </w14:solidFill>
        </w14:textFill>
      </w:rPr>
      <w:tblPr/>
      <w:tcPr>
        <w:shd w:val="clear" w:color="auto" w:fill="76923C" w:themeFill="accent3" w:themeFillShade="BF"/>
      </w:tcPr>
    </w:tblStylePr>
    <w:tblStylePr w:type="lastCol">
      <w:rPr>
        <w:color w:val="FFFFFF" w:themeColor="background1"/>
        <w14:textFill>
          <w14:solidFill>
            <w14:schemeClr w14:val="bg1"/>
          </w14:solidFill>
        </w14:textFill>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130">
    <w:name w:val="Colorful Grid Accent 4"/>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14:textFill>
          <w14:solidFill>
            <w14:schemeClr w14:val="tx1"/>
          </w14:solidFill>
        </w14:textFill>
      </w:rPr>
      <w:tblPr/>
      <w:tcPr>
        <w:shd w:val="clear" w:color="auto" w:fill="CCC0D9" w:themeFill="accent4" w:themeFillTint="66"/>
      </w:tcPr>
    </w:tblStylePr>
    <w:tblStylePr w:type="firstCol">
      <w:rPr>
        <w:color w:val="FFFFFF" w:themeColor="background1"/>
        <w14:textFill>
          <w14:solidFill>
            <w14:schemeClr w14:val="bg1"/>
          </w14:solidFill>
        </w14:textFill>
      </w:rPr>
      <w:tblPr/>
      <w:tcPr>
        <w:shd w:val="clear" w:color="auto" w:fill="5F497A" w:themeFill="accent4" w:themeFillShade="BF"/>
      </w:tcPr>
    </w:tblStylePr>
    <w:tblStylePr w:type="lastCol">
      <w:rPr>
        <w:color w:val="FFFFFF" w:themeColor="background1"/>
        <w14:textFill>
          <w14:solidFill>
            <w14:schemeClr w14:val="bg1"/>
          </w14:solidFill>
        </w14:textFill>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131">
    <w:name w:val="Colorful Grid Accent 5"/>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14:textFill>
          <w14:solidFill>
            <w14:schemeClr w14:val="tx1"/>
          </w14:solidFill>
        </w14:textFill>
      </w:rPr>
      <w:tblPr/>
      <w:tcPr>
        <w:shd w:val="clear" w:color="auto" w:fill="B6DDE8" w:themeFill="accent5" w:themeFillTint="66"/>
      </w:tcPr>
    </w:tblStylePr>
    <w:tblStylePr w:type="firstCol">
      <w:rPr>
        <w:color w:val="FFFFFF" w:themeColor="background1"/>
        <w14:textFill>
          <w14:solidFill>
            <w14:schemeClr w14:val="bg1"/>
          </w14:solidFill>
        </w14:textFill>
      </w:rPr>
      <w:tblPr/>
      <w:tcPr>
        <w:shd w:val="clear" w:color="auto" w:fill="31849B" w:themeFill="accent5" w:themeFillShade="BF"/>
      </w:tcPr>
    </w:tblStylePr>
    <w:tblStylePr w:type="lastCol">
      <w:rPr>
        <w:color w:val="FFFFFF" w:themeColor="background1"/>
        <w14:textFill>
          <w14:solidFill>
            <w14:schemeClr w14:val="bg1"/>
          </w14:solidFill>
        </w14:textFill>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132">
    <w:name w:val="Colorful Grid Accent 6"/>
    <w:basedOn w:val="33"/>
    <w:qFormat/>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14:textFill>
          <w14:solidFill>
            <w14:schemeClr w14:val="tx1"/>
          </w14:solidFill>
        </w14:textFill>
      </w:rPr>
      <w:tblPr/>
      <w:tcPr>
        <w:shd w:val="clear" w:color="auto" w:fill="FBD4B4" w:themeFill="accent6" w:themeFillTint="66"/>
      </w:tcPr>
    </w:tblStylePr>
    <w:tblStylePr w:type="firstCol">
      <w:rPr>
        <w:color w:val="FFFFFF" w:themeColor="background1"/>
        <w14:textFill>
          <w14:solidFill>
            <w14:schemeClr w14:val="bg1"/>
          </w14:solidFill>
        </w14:textFill>
      </w:rPr>
      <w:tblPr/>
      <w:tcPr>
        <w:shd w:val="clear" w:color="auto" w:fill="E36C09" w:themeFill="accent6" w:themeFillShade="BF"/>
      </w:tcPr>
    </w:tblStylePr>
    <w:tblStylePr w:type="lastCol">
      <w:rPr>
        <w:color w:val="FFFFFF" w:themeColor="background1"/>
        <w14:textFill>
          <w14:solidFill>
            <w14:schemeClr w14:val="bg1"/>
          </w14:solidFill>
        </w14:textFill>
      </w:rPr>
      <w:tblPr/>
      <w:tcPr>
        <w:shd w:val="clear" w:color="auto" w:fill="E36C09"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character" w:styleId="134">
    <w:name w:val="Strong"/>
    <w:basedOn w:val="133"/>
    <w:qFormat/>
    <w:uiPriority w:val="22"/>
    <w:rPr>
      <w:b/>
      <w:bCs/>
    </w:rPr>
  </w:style>
  <w:style w:type="character" w:styleId="135">
    <w:name w:val="Emphasis"/>
    <w:basedOn w:val="133"/>
    <w:qFormat/>
    <w:uiPriority w:val="20"/>
    <w:rPr>
      <w:i/>
      <w:iCs/>
    </w:rPr>
  </w:style>
  <w:style w:type="character" w:styleId="136">
    <w:name w:val="Hyperlink"/>
    <w:basedOn w:val="133"/>
    <w:semiHidden/>
    <w:unhideWhenUsed/>
    <w:uiPriority w:val="99"/>
    <w:rPr>
      <w:color w:val="0000FF"/>
      <w:u w:val="single"/>
    </w:rPr>
  </w:style>
  <w:style w:type="character" w:styleId="137">
    <w:name w:val="HTML Code"/>
    <w:basedOn w:val="133"/>
    <w:semiHidden/>
    <w:unhideWhenUsed/>
    <w:qFormat/>
    <w:uiPriority w:val="99"/>
    <w:rPr>
      <w:rFonts w:ascii="Courier New" w:hAnsi="Courier New"/>
      <w:sz w:val="20"/>
    </w:rPr>
  </w:style>
  <w:style w:type="character" w:customStyle="1" w:styleId="138">
    <w:name w:val="Header Char"/>
    <w:basedOn w:val="133"/>
    <w:link w:val="25"/>
    <w:qFormat/>
    <w:uiPriority w:val="99"/>
  </w:style>
  <w:style w:type="character" w:customStyle="1" w:styleId="139">
    <w:name w:val="Footer Char"/>
    <w:basedOn w:val="133"/>
    <w:link w:val="24"/>
    <w:qFormat/>
    <w:uiPriority w:val="99"/>
  </w:style>
  <w:style w:type="paragraph" w:styleId="140">
    <w:name w:val="No Spacing"/>
    <w:qFormat/>
    <w:uiPriority w:val="1"/>
    <w:pPr>
      <w:spacing w:after="0" w:line="240" w:lineRule="auto"/>
    </w:pPr>
    <w:rPr>
      <w:rFonts w:asciiTheme="minorHAnsi" w:hAnsiTheme="minorHAnsi" w:eastAsiaTheme="minorEastAsia" w:cstheme="minorBidi"/>
      <w:sz w:val="22"/>
      <w:szCs w:val="22"/>
      <w:lang w:val="en-US" w:eastAsia="en-US" w:bidi="ar-SA"/>
    </w:rPr>
  </w:style>
  <w:style w:type="character" w:customStyle="1" w:styleId="141">
    <w:name w:val="Heading 1 Char"/>
    <w:basedOn w:val="133"/>
    <w:link w:val="3"/>
    <w:qFormat/>
    <w:uiPriority w:val="9"/>
    <w:rPr>
      <w:rFonts w:asciiTheme="majorHAnsi" w:hAnsiTheme="majorHAnsi" w:eastAsiaTheme="majorEastAsia" w:cstheme="majorBidi"/>
      <w:b/>
      <w:bCs/>
      <w:color w:val="376092" w:themeColor="accent1" w:themeShade="BF"/>
      <w:sz w:val="28"/>
      <w:szCs w:val="28"/>
    </w:rPr>
  </w:style>
  <w:style w:type="character" w:customStyle="1" w:styleId="142">
    <w:name w:val="Heading 2 Char"/>
    <w:basedOn w:val="133"/>
    <w:link w:val="4"/>
    <w:qFormat/>
    <w:uiPriority w:val="9"/>
    <w:rPr>
      <w:rFonts w:asciiTheme="majorHAnsi" w:hAnsiTheme="majorHAnsi" w:eastAsiaTheme="majorEastAsia" w:cstheme="majorBidi"/>
      <w:b/>
      <w:bCs/>
      <w:color w:val="4F81BD" w:themeColor="accent1"/>
      <w:sz w:val="26"/>
      <w:szCs w:val="26"/>
      <w14:textFill>
        <w14:solidFill>
          <w14:schemeClr w14:val="accent1"/>
        </w14:solidFill>
      </w14:textFill>
    </w:rPr>
  </w:style>
  <w:style w:type="character" w:customStyle="1" w:styleId="143">
    <w:name w:val="Heading 3 Char"/>
    <w:basedOn w:val="133"/>
    <w:link w:val="5"/>
    <w:qFormat/>
    <w:uiPriority w:val="9"/>
    <w:rPr>
      <w:rFonts w:asciiTheme="majorHAnsi" w:hAnsiTheme="majorHAnsi" w:eastAsiaTheme="majorEastAsia" w:cstheme="majorBidi"/>
      <w:b/>
      <w:bCs/>
      <w:color w:val="4F81BD" w:themeColor="accent1"/>
      <w14:textFill>
        <w14:solidFill>
          <w14:schemeClr w14:val="accent1"/>
        </w14:solidFill>
      </w14:textFill>
    </w:rPr>
  </w:style>
  <w:style w:type="character" w:customStyle="1" w:styleId="144">
    <w:name w:val="Title Char"/>
    <w:basedOn w:val="133"/>
    <w:link w:val="32"/>
    <w:qFormat/>
    <w:uiPriority w:val="10"/>
    <w:rPr>
      <w:rFonts w:asciiTheme="majorHAnsi" w:hAnsiTheme="majorHAnsi" w:eastAsiaTheme="majorEastAsia" w:cstheme="majorBidi"/>
      <w:color w:val="17375E" w:themeColor="text2" w:themeShade="BF"/>
      <w:spacing w:val="5"/>
      <w:kern w:val="28"/>
      <w:sz w:val="52"/>
      <w:szCs w:val="52"/>
    </w:rPr>
  </w:style>
  <w:style w:type="character" w:customStyle="1" w:styleId="145">
    <w:name w:val="Subtitle Char"/>
    <w:basedOn w:val="133"/>
    <w:link w:val="26"/>
    <w:qFormat/>
    <w:uiPriority w:val="11"/>
    <w:rPr>
      <w:rFonts w:asciiTheme="majorHAnsi" w:hAnsiTheme="majorHAnsi" w:eastAsiaTheme="majorEastAsia" w:cstheme="majorBidi"/>
      <w:i/>
      <w:iCs/>
      <w:color w:val="4F81BD" w:themeColor="accent1"/>
      <w:spacing w:val="15"/>
      <w:sz w:val="24"/>
      <w:szCs w:val="24"/>
      <w14:textFill>
        <w14:solidFill>
          <w14:schemeClr w14:val="accent1"/>
        </w14:solidFill>
      </w14:textFill>
    </w:rPr>
  </w:style>
  <w:style w:type="paragraph" w:styleId="146">
    <w:name w:val="List Paragraph"/>
    <w:basedOn w:val="1"/>
    <w:qFormat/>
    <w:uiPriority w:val="34"/>
    <w:pPr>
      <w:ind w:left="720"/>
      <w:contextualSpacing/>
    </w:pPr>
  </w:style>
  <w:style w:type="character" w:customStyle="1" w:styleId="147">
    <w:name w:val="Body Text Char"/>
    <w:basedOn w:val="133"/>
    <w:link w:val="19"/>
    <w:qFormat/>
    <w:uiPriority w:val="99"/>
  </w:style>
  <w:style w:type="character" w:customStyle="1" w:styleId="148">
    <w:name w:val="Body Text 2 Char"/>
    <w:basedOn w:val="133"/>
    <w:link w:val="28"/>
    <w:qFormat/>
    <w:uiPriority w:val="99"/>
  </w:style>
  <w:style w:type="character" w:customStyle="1" w:styleId="149">
    <w:name w:val="Body Text 3 Char"/>
    <w:basedOn w:val="133"/>
    <w:link w:val="17"/>
    <w:qFormat/>
    <w:uiPriority w:val="99"/>
    <w:rPr>
      <w:sz w:val="16"/>
      <w:szCs w:val="16"/>
    </w:rPr>
  </w:style>
  <w:style w:type="character" w:customStyle="1" w:styleId="150">
    <w:name w:val="Macro Text Char"/>
    <w:basedOn w:val="133"/>
    <w:link w:val="2"/>
    <w:qFormat/>
    <w:uiPriority w:val="99"/>
    <w:rPr>
      <w:rFonts w:ascii="Courier" w:hAnsi="Courier"/>
      <w:sz w:val="20"/>
      <w:szCs w:val="20"/>
    </w:rPr>
  </w:style>
  <w:style w:type="paragraph" w:styleId="151">
    <w:name w:val="Quote"/>
    <w:basedOn w:val="1"/>
    <w:next w:val="1"/>
    <w:link w:val="152"/>
    <w:qFormat/>
    <w:uiPriority w:val="29"/>
    <w:rPr>
      <w:i/>
      <w:iCs/>
      <w:color w:val="000000" w:themeColor="text1"/>
      <w14:textFill>
        <w14:solidFill>
          <w14:schemeClr w14:val="tx1"/>
        </w14:solidFill>
      </w14:textFill>
    </w:rPr>
  </w:style>
  <w:style w:type="character" w:customStyle="1" w:styleId="152">
    <w:name w:val="Quote Char"/>
    <w:basedOn w:val="133"/>
    <w:link w:val="151"/>
    <w:qFormat/>
    <w:uiPriority w:val="29"/>
    <w:rPr>
      <w:i/>
      <w:iCs/>
      <w:color w:val="000000" w:themeColor="text1"/>
      <w14:textFill>
        <w14:solidFill>
          <w14:schemeClr w14:val="tx1"/>
        </w14:solidFill>
      </w14:textFill>
    </w:rPr>
  </w:style>
  <w:style w:type="character" w:customStyle="1" w:styleId="153">
    <w:name w:val="Heading 4 Char"/>
    <w:basedOn w:val="133"/>
    <w:link w:val="6"/>
    <w:semiHidden/>
    <w:qFormat/>
    <w:uiPriority w:val="9"/>
    <w:rPr>
      <w:rFonts w:asciiTheme="majorHAnsi" w:hAnsiTheme="majorHAnsi" w:eastAsiaTheme="majorEastAsia" w:cstheme="majorBidi"/>
      <w:b/>
      <w:bCs/>
      <w:i/>
      <w:iCs/>
      <w:color w:val="4F81BD" w:themeColor="accent1"/>
      <w14:textFill>
        <w14:solidFill>
          <w14:schemeClr w14:val="accent1"/>
        </w14:solidFill>
      </w14:textFill>
    </w:rPr>
  </w:style>
  <w:style w:type="character" w:customStyle="1" w:styleId="154">
    <w:name w:val="Heading 5 Char"/>
    <w:basedOn w:val="133"/>
    <w:link w:val="7"/>
    <w:semiHidden/>
    <w:qFormat/>
    <w:uiPriority w:val="9"/>
    <w:rPr>
      <w:rFonts w:asciiTheme="majorHAnsi" w:hAnsiTheme="majorHAnsi" w:eastAsiaTheme="majorEastAsia" w:cstheme="majorBidi"/>
      <w:color w:val="254061" w:themeColor="accent1" w:themeShade="80"/>
    </w:rPr>
  </w:style>
  <w:style w:type="character" w:customStyle="1" w:styleId="155">
    <w:name w:val="Heading 6 Char"/>
    <w:basedOn w:val="133"/>
    <w:link w:val="8"/>
    <w:semiHidden/>
    <w:qFormat/>
    <w:uiPriority w:val="9"/>
    <w:rPr>
      <w:rFonts w:asciiTheme="majorHAnsi" w:hAnsiTheme="majorHAnsi" w:eastAsiaTheme="majorEastAsia" w:cstheme="majorBidi"/>
      <w:i/>
      <w:iCs/>
      <w:color w:val="254061" w:themeColor="accent1" w:themeShade="80"/>
    </w:rPr>
  </w:style>
  <w:style w:type="character" w:customStyle="1" w:styleId="156">
    <w:name w:val="Heading 7 Char"/>
    <w:basedOn w:val="133"/>
    <w:link w:val="9"/>
    <w:semiHidden/>
    <w:qFormat/>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157">
    <w:name w:val="Heading 8 Char"/>
    <w:basedOn w:val="133"/>
    <w:link w:val="10"/>
    <w:semiHidden/>
    <w:qFormat/>
    <w:uiPriority w:val="9"/>
    <w:rPr>
      <w:rFonts w:asciiTheme="majorHAnsi" w:hAnsiTheme="majorHAnsi" w:eastAsiaTheme="majorEastAsia" w:cstheme="majorBidi"/>
      <w:color w:val="4F81BD" w:themeColor="accent1"/>
      <w:sz w:val="20"/>
      <w:szCs w:val="20"/>
      <w14:textFill>
        <w14:solidFill>
          <w14:schemeClr w14:val="accent1"/>
        </w14:solidFill>
      </w14:textFill>
    </w:rPr>
  </w:style>
  <w:style w:type="character" w:customStyle="1" w:styleId="158">
    <w:name w:val="Heading 9 Char"/>
    <w:basedOn w:val="133"/>
    <w:link w:val="11"/>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159">
    <w:name w:val="Intense Quote"/>
    <w:basedOn w:val="1"/>
    <w:next w:val="1"/>
    <w:link w:val="160"/>
    <w:qFormat/>
    <w:uiPriority w:val="30"/>
    <w:pPr>
      <w:pBdr>
        <w:bottom w:val="single" w:color="4F81BD" w:themeColor="accent1" w:sz="4" w:space="4"/>
      </w:pBdr>
      <w:spacing w:before="200" w:after="280"/>
      <w:ind w:left="936" w:right="936"/>
    </w:pPr>
    <w:rPr>
      <w:b/>
      <w:bCs/>
      <w:i/>
      <w:iCs/>
      <w:color w:val="4F81BD" w:themeColor="accent1"/>
      <w14:textFill>
        <w14:solidFill>
          <w14:schemeClr w14:val="accent1"/>
        </w14:solidFill>
      </w14:textFill>
    </w:rPr>
  </w:style>
  <w:style w:type="character" w:customStyle="1" w:styleId="160">
    <w:name w:val="Intense Quote Char"/>
    <w:basedOn w:val="133"/>
    <w:link w:val="159"/>
    <w:qFormat/>
    <w:uiPriority w:val="30"/>
    <w:rPr>
      <w:b/>
      <w:bCs/>
      <w:i/>
      <w:iCs/>
      <w:color w:val="4F81BD" w:themeColor="accent1"/>
      <w14:textFill>
        <w14:solidFill>
          <w14:schemeClr w14:val="accent1"/>
        </w14:solidFill>
      </w14:textFill>
    </w:rPr>
  </w:style>
  <w:style w:type="character" w:customStyle="1" w:styleId="161">
    <w:name w:val="Subtle Emphasis"/>
    <w:basedOn w:val="133"/>
    <w:qFormat/>
    <w:uiPriority w:val="19"/>
    <w:rPr>
      <w:i/>
      <w:iCs/>
      <w:color w:val="808080" w:themeColor="text1" w:themeTint="80"/>
      <w14:textFill>
        <w14:solidFill>
          <w14:schemeClr w14:val="tx1">
            <w14:lumMod w14:val="50000"/>
            <w14:lumOff w14:val="50000"/>
          </w14:schemeClr>
        </w14:solidFill>
      </w14:textFill>
    </w:rPr>
  </w:style>
  <w:style w:type="character" w:customStyle="1" w:styleId="162">
    <w:name w:val="Intense Emphasis"/>
    <w:basedOn w:val="133"/>
    <w:qFormat/>
    <w:uiPriority w:val="21"/>
    <w:rPr>
      <w:b/>
      <w:bCs/>
      <w:i/>
      <w:iCs/>
      <w:color w:val="4F81BD" w:themeColor="accent1"/>
      <w14:textFill>
        <w14:solidFill>
          <w14:schemeClr w14:val="accent1"/>
        </w14:solidFill>
      </w14:textFill>
    </w:rPr>
  </w:style>
  <w:style w:type="character" w:customStyle="1" w:styleId="163">
    <w:name w:val="Subtle Reference"/>
    <w:basedOn w:val="133"/>
    <w:qFormat/>
    <w:uiPriority w:val="31"/>
    <w:rPr>
      <w:smallCaps/>
      <w:color w:val="C0504D" w:themeColor="accent2"/>
      <w:u w:val="single"/>
      <w14:textFill>
        <w14:solidFill>
          <w14:schemeClr w14:val="accent2"/>
        </w14:solidFill>
      </w14:textFill>
    </w:rPr>
  </w:style>
  <w:style w:type="character" w:customStyle="1" w:styleId="164">
    <w:name w:val="Intense Reference"/>
    <w:basedOn w:val="133"/>
    <w:qFormat/>
    <w:uiPriority w:val="32"/>
    <w:rPr>
      <w:b/>
      <w:bCs/>
      <w:smallCaps/>
      <w:color w:val="C0504D" w:themeColor="accent2"/>
      <w:spacing w:val="5"/>
      <w:u w:val="single"/>
      <w14:textFill>
        <w14:solidFill>
          <w14:schemeClr w14:val="accent2"/>
        </w14:solidFill>
      </w14:textFill>
    </w:rPr>
  </w:style>
  <w:style w:type="character" w:customStyle="1" w:styleId="165">
    <w:name w:val="Book Title"/>
    <w:basedOn w:val="133"/>
    <w:qFormat/>
    <w:uiPriority w:val="33"/>
    <w:rPr>
      <w:b/>
      <w:bCs/>
      <w:smallCaps/>
      <w:spacing w:val="5"/>
    </w:rPr>
  </w:style>
  <w:style w:type="paragraph" w:customStyle="1" w:styleId="166">
    <w:name w:val="TOC Heading"/>
    <w:basedOn w:val="3"/>
    <w:next w:val="1"/>
    <w:semiHidden/>
    <w:unhideWhenUsed/>
    <w:qFormat/>
    <w:uiPriority w:val="39"/>
    <w:pPr>
      <w:outlineLvl w:val="9"/>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2738</Words>
  <Characters>14705</Characters>
  <Lines>0</Lines>
  <Paragraphs>0</Paragraphs>
  <TotalTime>232</TotalTime>
  <ScaleCrop>false</ScaleCrop>
  <LinksUpToDate>false</LinksUpToDate>
  <CharactersWithSpaces>16867</CharactersWithSpaces>
  <Application>WPS Office_12.1.0.23125_F1E327BC-269C-435d-A152-05C5408002CA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2013-12-24T00:15:00Z</dcterms:created>
  <dc:creator>python-docx</dc:creator>
  <dc:description>generated by python-docx</dc:description>
  <cp:lastModifiedBy>WPS_1754153612</cp:lastModifiedBy>
  <dcterms:modified xsi:type="dcterms:W3CDTF">2025-10-27T14:22:14Z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2052-12.1.0.23125</vt:lpwstr>
  </property>
  <property fmtid="{D5CDD505-2E9C-101B-9397-08002B2CF9AE}" pid="3" name="ICV">
    <vt:lpwstr>4E515BC456FF41E484412D01484231C7_13</vt:lpwstr>
  </property>
  <property fmtid="{D5CDD505-2E9C-101B-9397-08002B2CF9AE}" pid="4" name="KSOTemplateDocerSaveRecord">
    <vt:lpwstr>eyJoZGlkIjoiYjkyZmNhZmMwYTRkMzdjNDc0ZDBiODA4ZTNmNjg2YzYiLCJ1c2VySWQiOiIxNzI2NjE4Mjg5In0=</vt:lpwstr>
  </property>
</Properties>
</file>