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5D20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Style w:val="6"/>
          <w:rFonts w:hint="default" w:ascii="Calibri" w:hAnsi="Calibri" w:cs="Calibri"/>
          <w:b/>
          <w:bCs/>
          <w:sz w:val="32"/>
          <w:szCs w:val="32"/>
          <w:lang w:val="en-US" w:eastAsia="zh-CN"/>
        </w:rPr>
        <w:t>Methods</w:t>
      </w:r>
    </w:p>
    <w:p w14:paraId="65AAD134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bookmarkStart w:id="0" w:name="_GoBack"/>
      <w:r>
        <w:rPr>
          <w:rStyle w:val="6"/>
          <w:rFonts w:hint="default" w:ascii="Calibri" w:hAnsi="Calibri" w:cs="Calibri"/>
          <w:b/>
          <w:bCs/>
          <w:sz w:val="22"/>
          <w:szCs w:val="22"/>
          <w:lang w:val="en-US" w:eastAsia="zh-CN"/>
        </w:rPr>
        <w:t>Data and Representation</w:t>
      </w:r>
    </w:p>
    <w:bookmarkEnd w:id="0"/>
    <w:p w14:paraId="747323D8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349EBC4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Object: Multi-species rpoB site-level mutation matrix (species × mutation; binary values/frequency are unified into binary values: presence = 1, absence = 0).</w:t>
      </w:r>
    </w:p>
    <w:p w14:paraId="463D7714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1226C05B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Filtering: Remove extremely low-frequency/single-sample mutation sites; retain a sufficiently informative site set (used for the "Full Mutation Map" and "Top-30 Mutation Map" visualizations).</w:t>
      </w:r>
    </w:p>
    <w:p w14:paraId="5175DD3F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46B2A1D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Confounding Assessment and Stratification (confounder score → high / mid-high)</w:t>
      </w:r>
    </w:p>
    <w:p w14:paraId="37B9C6A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084376CE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Calculate the confounder score for each species (based on comprehensive metrics such as known source bias, sequencing depth/sample size, and publication bias).</w:t>
      </w:r>
    </w:p>
    <w:p w14:paraId="677EC5EE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4C37ACE0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Stratification by Thresholding:</w:t>
      </w:r>
    </w:p>
    <w:p w14:paraId="48CE5A11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411B0B39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High group: High confounder score (</w:t>
      </w:r>
      <w:r>
        <w:rPr>
          <w:rStyle w:val="6"/>
          <w:rFonts w:hint="eastAsia" w:ascii="Calibri" w:hAnsi="Calibri" w:cs="Calibri"/>
          <w:b w:val="0"/>
          <w:bCs w:val="0"/>
          <w:sz w:val="20"/>
          <w:szCs w:val="20"/>
          <w:lang w:val="en-US" w:eastAsia="zh-CN"/>
        </w:rPr>
        <w:t>confounder score &gt;0.7 ,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potentially more biased, independent stability assessment first).</w:t>
      </w:r>
    </w:p>
    <w:p w14:paraId="6F7DC908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5AABBC6A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Mid-high group: Second-highest confounder score (</w:t>
      </w:r>
      <w:r>
        <w:rPr>
          <w:rStyle w:val="6"/>
          <w:rFonts w:hint="eastAsia" w:ascii="Calibri" w:hAnsi="Calibri" w:cs="Calibri"/>
          <w:b w:val="0"/>
          <w:bCs w:val="0"/>
          <w:sz w:val="20"/>
          <w:szCs w:val="20"/>
          <w:lang w:val="en-US" w:eastAsia="zh-CN"/>
        </w:rPr>
        <w:t>0.3&lt;score&lt; 0.7,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serves as a control stratum for  analysis</w:t>
      </w:r>
      <w:r>
        <w:rPr>
          <w:rStyle w:val="6"/>
          <w:rFonts w:hint="eastAsia" w:ascii="Calibri" w:hAnsi="Calibri" w:cs="Calibri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parallel</w:t>
      </w:r>
      <w:r>
        <w:rPr>
          <w:rStyle w:val="6"/>
          <w:rFonts w:hint="eastAsia" w:ascii="Calibri" w:hAnsi="Calibri" w:cs="Calibri"/>
          <w:b w:val="0"/>
          <w:bCs w:val="0"/>
          <w:sz w:val="20"/>
          <w:szCs w:val="20"/>
          <w:lang w:val="en-US" w:eastAsia="zh-CN"/>
        </w:rPr>
        <w:t>y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).</w:t>
      </w:r>
    </w:p>
    <w:p w14:paraId="14F11C2D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1"/>
          <w:szCs w:val="21"/>
          <w:lang w:val="en-US" w:eastAsia="zh-CN"/>
        </w:rPr>
      </w:pPr>
    </w:p>
    <w:p w14:paraId="7CB41230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cs="Calibri"/>
          <w:b/>
          <w:bCs/>
          <w:sz w:val="21"/>
          <w:szCs w:val="21"/>
          <w:lang w:val="en-US" w:eastAsia="zh-CN"/>
        </w:rPr>
        <w:t>Clustering Strategy Grid (algorithms × distances)</w:t>
      </w:r>
    </w:p>
    <w:p w14:paraId="31CD6F87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47AD73CF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Algorithms: K-means, GMM, hierarchical clustering (HDBSCAN is optional for robustness testing).</w:t>
      </w:r>
    </w:p>
    <w:p w14:paraId="4CE0B651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7ECC973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Distance/Similarity: Euclidean, Cosine, (optional) Jaccard/Manhattan.</w:t>
      </w:r>
    </w:p>
    <w:p w14:paraId="0030DB01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58D23574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2D Grid Combination: Run the full combination for both the high and mid-high groups.</w:t>
      </w:r>
    </w:p>
    <w:p w14:paraId="095F94E4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6A9150FA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/>
          <w:bCs/>
          <w:sz w:val="20"/>
          <w:szCs w:val="20"/>
          <w:lang w:val="en-US" w:eastAsia="zh-CN"/>
        </w:rPr>
        <w:t>Model Selection and Stability Assessment</w:t>
      </w:r>
    </w:p>
    <w:p w14:paraId="44546C40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350BE70F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Primary Score: Silhouette (cosine distance is preferred for evaluating "pattern similarity" for binary/sparse data).</w:t>
      </w:r>
    </w:p>
    <w:p w14:paraId="4CAC540E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25D9AADE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26AA1639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Stability: Re-run concordance of subsampling/bootstrapping (median and IQR of NMI/ARI can be reported).</w:t>
      </w:r>
    </w:p>
    <w:p w14:paraId="0B8DD045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7BBB8F95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Determining the Top Three: Sort by primary score. If the scores are close, weight the decision based on stability and interpretability (biological plausibility).</w:t>
      </w:r>
    </w:p>
    <w:p w14:paraId="471C540C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33DF1808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Style w:val="6"/>
          <w:rFonts w:hint="default" w:ascii="Calibri" w:hAnsi="Calibri" w:cs="Calibri"/>
          <w:b/>
          <w:bCs/>
          <w:sz w:val="21"/>
          <w:szCs w:val="21"/>
          <w:lang w:val="en-US" w:eastAsia="zh-CN"/>
        </w:rPr>
        <w:t>Visualization and Comparison</w:t>
      </w:r>
    </w:p>
    <w:p w14:paraId="77A8BC9D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2465787A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Heatmap 1 (Full Mutation): A binary matrix of species × all loci; rows are annotated with cluster groups, and columns are loci.</w:t>
      </w:r>
    </w:p>
    <w:p w14:paraId="169980F2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5126F3C5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Heatmap 2 (Top-30): Top 30 sites filtered by overall frequency/information gain (easier to identify patterns).</w:t>
      </w:r>
    </w:p>
    <w:p w14:paraId="09190593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5A577F4D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Style w:val="6"/>
          <w:rFonts w:hint="default" w:ascii="Calibri" w:hAnsi="Calibri" w:cs="Calibri"/>
          <w:b/>
          <w:bCs/>
          <w:sz w:val="22"/>
          <w:szCs w:val="22"/>
          <w:lang w:val="en-US" w:eastAsia="zh-CN"/>
        </w:rPr>
        <w:t>Reference/Domain Comparison:</w:t>
      </w:r>
    </w:p>
    <w:p w14:paraId="4C2BDEA4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5D353BFD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Compare with the phylogenetic clustering results of Bolourchi et al. 2025 (e.g., Actinobacteria/Spirochaetia).</w:t>
      </w:r>
    </w:p>
    <w:p w14:paraId="01364B70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08A5C955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Compare with the rpoB structural hotspot (Cluster I: 509–533); annotate classic sites such as H526, S531, D516, and L533.</w:t>
      </w:r>
    </w:p>
    <w:p w14:paraId="498DDE6D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</w:p>
    <w:p w14:paraId="69D09761">
      <w:pPr>
        <w:pStyle w:val="2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"Reference Comparison and Screening": If a taxon exhibits atypical patterns, perform sample-level verification based on literature tracing (sequencing strategy/culture conditions/annotation version). Perform sensitivity analysis on suspicious samples or signals solely supported by a single publication (score change ≤ X% after removal is considered robust).</w:t>
      </w:r>
    </w:p>
    <w:p w14:paraId="7EC7D777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1" name="图片 1" descr="heatmap_COSINE_GMM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tmap_COSINE_GMM_top30_si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C4B"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2" name="图片 2" descr="heatmap_COSINE_KMEANS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eatmap_COSINE_KMEANS_top30_simp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929">
      <w:pPr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drawing>
          <wp:inline distT="0" distB="0" distL="114300" distR="114300">
            <wp:extent cx="5263515" cy="3509010"/>
            <wp:effectExtent l="0" t="0" r="9525" b="11430"/>
            <wp:docPr id="3" name="图片 3" descr="heatmap_EUCLIDEAN_KMEANS_top30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tmap_EUCLIDEAN_KMEANS_top30_si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C62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Comparative Analysis of Result Figures:</w:t>
      </w:r>
    </w:p>
    <w:p w14:paraId="3428A098">
      <w:pPr>
        <w:rPr>
          <w:rStyle w:val="6"/>
          <w:rFonts w:hint="eastAsia"/>
          <w:b/>
          <w:bCs/>
          <w:sz w:val="22"/>
          <w:szCs w:val="22"/>
          <w:lang w:val="en-US" w:eastAsia="zh-CN"/>
        </w:rPr>
      </w:pPr>
      <w:r>
        <w:rPr>
          <w:rStyle w:val="6"/>
          <w:rFonts w:hint="eastAsia"/>
          <w:b/>
          <w:bCs/>
          <w:sz w:val="22"/>
          <w:szCs w:val="22"/>
          <w:lang w:val="en-US" w:eastAsia="zh-CN"/>
        </w:rPr>
        <w:t xml:space="preserve"> Cosine + GMM</w:t>
      </w:r>
    </w:p>
    <w:p w14:paraId="331BA7F5">
      <w:pPr>
        <w:rPr>
          <w:rStyle w:val="6"/>
          <w:rFonts w:hint="eastAsia"/>
          <w:b w:val="0"/>
          <w:bCs w:val="0"/>
          <w:lang w:val="en-US" w:eastAsia="zh-CN"/>
        </w:rPr>
      </w:pPr>
    </w:p>
    <w:p w14:paraId="0E5FDBEB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The most natural clustering results:</w:t>
      </w:r>
    </w:p>
    <w:p w14:paraId="3E0F7BD3">
      <w:pPr>
        <w:rPr>
          <w:rStyle w:val="6"/>
          <w:rFonts w:hint="eastAsia"/>
          <w:b w:val="0"/>
          <w:bCs w:val="0"/>
          <w:lang w:val="en-US" w:eastAsia="zh-CN"/>
        </w:rPr>
      </w:pPr>
    </w:p>
    <w:p w14:paraId="556AA103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Cluster 1 (red): M. tuberculosis, B. anthracis, E. faecium → corresponding to the actinomycetes/Gram-positive group, with mutations concentrated in the L533R, S531L, and S522F regions.</w:t>
      </w:r>
    </w:p>
    <w:p w14:paraId="42C66CF8">
      <w:pPr>
        <w:rPr>
          <w:rStyle w:val="6"/>
          <w:rFonts w:hint="eastAsia"/>
          <w:b w:val="0"/>
          <w:bCs w:val="0"/>
          <w:lang w:val="en-US" w:eastAsia="zh-CN"/>
        </w:rPr>
      </w:pPr>
    </w:p>
    <w:p w14:paraId="1B5DEBEA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Cluster 2 (blue): E. coli, Pseudomonas, Salmonella → Gram-negative group, with mutations concentrated in the D516V/H526Y/S531F regions.</w:t>
      </w:r>
    </w:p>
    <w:p w14:paraId="6144A9A3">
      <w:pPr>
        <w:rPr>
          <w:rStyle w:val="6"/>
          <w:rFonts w:hint="eastAsia"/>
          <w:b w:val="0"/>
          <w:bCs w:val="0"/>
          <w:lang w:val="en-US" w:eastAsia="zh-CN"/>
        </w:rPr>
      </w:pPr>
    </w:p>
    <w:p w14:paraId="53E484B8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The boundaries between clusters are clear and consistent with known phylogenetic distributions.</w:t>
      </w:r>
    </w:p>
    <w:p w14:paraId="1283D93E">
      <w:pPr>
        <w:rPr>
          <w:rStyle w:val="6"/>
          <w:rFonts w:hint="eastAsia"/>
          <w:b/>
          <w:bCs/>
          <w:lang w:val="en-US" w:eastAsia="zh-CN"/>
        </w:rPr>
      </w:pPr>
    </w:p>
    <w:p w14:paraId="243F7A03">
      <w:pPr>
        <w:rPr>
          <w:rStyle w:val="6"/>
          <w:rFonts w:hint="eastAsia"/>
          <w:b/>
          <w:bCs/>
          <w:sz w:val="22"/>
          <w:szCs w:val="22"/>
          <w:lang w:val="en-US" w:eastAsia="zh-CN"/>
        </w:rPr>
      </w:pPr>
      <w:r>
        <w:rPr>
          <w:rStyle w:val="6"/>
          <w:rFonts w:hint="eastAsia"/>
          <w:b/>
          <w:bCs/>
          <w:sz w:val="22"/>
          <w:szCs w:val="22"/>
          <w:lang w:val="en-US" w:eastAsia="zh-CN"/>
        </w:rPr>
        <w:t xml:space="preserve"> Cosine + K-means</w:t>
      </w:r>
    </w:p>
    <w:p w14:paraId="5DB48A48">
      <w:pPr>
        <w:rPr>
          <w:rStyle w:val="6"/>
          <w:rFonts w:hint="eastAsia"/>
          <w:b w:val="0"/>
          <w:bCs w:val="0"/>
          <w:lang w:val="en-US" w:eastAsia="zh-CN"/>
        </w:rPr>
      </w:pPr>
    </w:p>
    <w:p w14:paraId="5464985C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The Gram-negative and Gram-positive groups can still be distinguished, but some boundaries (such as between Bacillus anthracis and Staphylococcus aureus) are slightly blurred.</w:t>
      </w:r>
    </w:p>
    <w:p w14:paraId="46007BB7">
      <w:pPr>
        <w:rPr>
          <w:rStyle w:val="6"/>
          <w:rFonts w:hint="eastAsia"/>
          <w:b w:val="0"/>
          <w:bCs w:val="0"/>
          <w:lang w:val="en-US" w:eastAsia="zh-CN"/>
        </w:rPr>
      </w:pPr>
    </w:p>
    <w:p w14:paraId="4F9B417C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The mutation pattern is slightly fragmented.</w:t>
      </w:r>
    </w:p>
    <w:p w14:paraId="683A558A">
      <w:pPr>
        <w:rPr>
          <w:rStyle w:val="6"/>
          <w:rFonts w:hint="eastAsia"/>
          <w:b w:val="0"/>
          <w:bCs w:val="0"/>
          <w:lang w:val="en-US" w:eastAsia="zh-CN"/>
        </w:rPr>
      </w:pPr>
    </w:p>
    <w:p w14:paraId="7765EFC2">
      <w:pPr>
        <w:rPr>
          <w:rStyle w:val="6"/>
          <w:rFonts w:hint="eastAsia"/>
          <w:b/>
          <w:bCs/>
          <w:sz w:val="22"/>
          <w:szCs w:val="22"/>
          <w:lang w:val="en-US" w:eastAsia="zh-CN"/>
        </w:rPr>
      </w:pPr>
      <w:r>
        <w:rPr>
          <w:rStyle w:val="6"/>
          <w:rFonts w:hint="eastAsia"/>
          <w:b/>
          <w:bCs/>
          <w:sz w:val="22"/>
          <w:szCs w:val="22"/>
          <w:lang w:val="en-US" w:eastAsia="zh-CN"/>
        </w:rPr>
        <w:t xml:space="preserve"> Euclidean + K-means</w:t>
      </w:r>
    </w:p>
    <w:p w14:paraId="5D4F2B21">
      <w:pPr>
        <w:rPr>
          <w:rStyle w:val="6"/>
          <w:rFonts w:hint="eastAsia"/>
          <w:b w:val="0"/>
          <w:bCs w:val="0"/>
          <w:lang w:val="en-US" w:eastAsia="zh-CN"/>
        </w:rPr>
      </w:pPr>
    </w:p>
    <w:p w14:paraId="1C49F586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Clustering is primarily driven by the number of mutations between samples rather than pattern similarity,</w:t>
      </w:r>
    </w:p>
    <w:p w14:paraId="5A6F177C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resulting in species with broad mutation spectra clustering together and those with fewer mutations clustering separately.</w:t>
      </w:r>
    </w:p>
    <w:p w14:paraId="30D77A76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This results in the weakest biological interpretation.</w:t>
      </w:r>
    </w:p>
    <w:p w14:paraId="152B69BA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Of the three clustering strategies, the Cosine distance + GMM model yielded the most stable results, successfully distinguishing actinomycetes/Gram-positive groups represented by M. tuberculosis and B. anthracis from Gram-negative groups represented by E. coli and Pseudomonas.</w:t>
      </w:r>
    </w:p>
    <w:p w14:paraId="0D425FA6">
      <w:pPr>
        <w:rPr>
          <w:rStyle w:val="6"/>
          <w:rFonts w:hint="eastAsia"/>
          <w:b w:val="0"/>
          <w:bCs w:val="0"/>
          <w:lang w:val="en-US" w:eastAsia="zh-CN"/>
        </w:rPr>
      </w:pPr>
    </w:p>
    <w:p w14:paraId="70C67C5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This grouping trend is consistent with the phylogenetic clustering reported by Bolourchi et al. (2025), indicating that mutational spectrum structure exhibits reproducible evolutionary clustering across species.</w:t>
      </w:r>
    </w:p>
    <w:p w14:paraId="667875B8">
      <w:pPr>
        <w:rPr>
          <w:rStyle w:val="6"/>
          <w:rFonts w:hint="eastAsia"/>
          <w:b w:val="0"/>
          <w:bCs w:val="0"/>
          <w:lang w:val="en-US" w:eastAsia="zh-CN"/>
        </w:rPr>
      </w:pPr>
    </w:p>
    <w:p w14:paraId="6F5DB24C">
      <w:pPr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1. Vibrio parahaemolyticus</w:t>
      </w:r>
    </w:p>
    <w:p w14:paraId="57A4A737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4FDDA3AF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Known anomaly, with extremely low clustering performance and few shared mutations with other species. </w:t>
      </w:r>
    </w:p>
    <w:p w14:paraId="6C225882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143FC38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Possible reasons: All mutations are laboratory mutants with no literature support; background differences may be significant.</w:t>
      </w:r>
    </w:p>
    <w:p w14:paraId="199188E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5FEB8AF5">
      <w:pPr>
        <w:rPr>
          <w:rStyle w:val="6"/>
          <w:rFonts w:hint="eastAsia"/>
          <w:b w:val="0"/>
          <w:bCs w:val="0"/>
          <w:lang w:val="en-US" w:eastAsia="zh-CN"/>
        </w:rPr>
      </w:pPr>
    </w:p>
    <w:p w14:paraId="72103599">
      <w:pPr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2. Vibrio vulnificus</w:t>
      </w:r>
    </w:p>
    <w:p w14:paraId="628256E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78A408A9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Appears at the very edge of multiple clusters, has a small number of mutations, and shares almost no mutations with other species.</w:t>
      </w:r>
    </w:p>
    <w:p w14:paraId="6655C6D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05D7A4FE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52D021E2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It is recommended to verify whether this is also an artificial mutagenesis background.</w:t>
      </w:r>
    </w:p>
    <w:p w14:paraId="553F9617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3B5E8402">
      <w:pPr>
        <w:rPr>
          <w:rStyle w:val="6"/>
          <w:rFonts w:hint="eastAsia"/>
          <w:b w:val="0"/>
          <w:bCs w:val="0"/>
          <w:lang w:val="en-US" w:eastAsia="zh-CN"/>
        </w:rPr>
      </w:pPr>
    </w:p>
    <w:p w14:paraId="603B3DD7">
      <w:pPr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3. Streptomyces lividans</w:t>
      </w:r>
    </w:p>
    <w:p w14:paraId="0BF9F07B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1EFACDE5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Although it has a certain number of mutations, the overlap with other species is very low, and it often forms an isolated cluster.</w:t>
      </w:r>
    </w:p>
    <w:p w14:paraId="4121CB6F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226194B4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54B9D51F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This may be because it is an actinomycete, evolutionarily distant from most Gram-negative bacteria.</w:t>
      </w:r>
    </w:p>
    <w:p w14:paraId="373CB495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24D6EBD5">
      <w:pPr>
        <w:rPr>
          <w:rStyle w:val="6"/>
          <w:rFonts w:hint="eastAsia"/>
          <w:b w:val="0"/>
          <w:bCs w:val="0"/>
          <w:lang w:val="en-US" w:eastAsia="zh-CN"/>
        </w:rPr>
      </w:pPr>
    </w:p>
    <w:p w14:paraId="480412AE">
      <w:pPr>
        <w:rPr>
          <w:rStyle w:val="6"/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4. Brucella suis &amp; Brucella melitensis</w:t>
      </w:r>
    </w:p>
    <w:p w14:paraId="0CCBD3B8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2FEC5C82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 xml:space="preserve"> These two species often cluster together, but are clearly separated from other groups.</w:t>
      </w:r>
    </w:p>
    <w:p w14:paraId="0E81A1F7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10F02380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p w14:paraId="374EDFEB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This may be because the Brucella genus is relatively unique (an intracellular parasite), resulting in a highly variable mutational spectrum.</w:t>
      </w:r>
    </w:p>
    <w:p w14:paraId="7BC0C6FC">
      <w:pPr>
        <w:rPr>
          <w:rStyle w:val="6"/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 w:val="0"/>
          <w:bCs w:val="0"/>
          <w:lang w:val="en-US" w:eastAsia="zh-CN"/>
        </w:rPr>
        <w:t>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4FF0"/>
    <w:rsid w:val="47D16257"/>
    <w:rsid w:val="49464FF0"/>
    <w:rsid w:val="592662DF"/>
    <w:rsid w:val="775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514</Words>
  <Characters>827</Characters>
  <Lines>0</Lines>
  <Paragraphs>0</Paragraphs>
  <TotalTime>40</TotalTime>
  <ScaleCrop>false</ScaleCrop>
  <LinksUpToDate>false</LinksUpToDate>
  <CharactersWithSpaces>899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2025-08-05T16:45:00Z</dcterms:created>
  <dc:creator>user</dc:creator>
  <cp:lastModifiedBy>WPS_1754153612</cp:lastModifiedBy>
  <dcterms:modified xsi:type="dcterms:W3CDTF">2025-10-09T05:21:49Z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E82CF3B13B73434EBE8DF0567AA961BC_11</vt:lpwstr>
  </property>
  <property fmtid="{D5CDD505-2E9C-101B-9397-08002B2CF9AE}" pid="4" name="KSOTemplateDocerSaveRecord">
    <vt:lpwstr>eyJoZGlkIjoiZDM5Nzk5MDJiYTM2MzExOTdkMzJjMTJmMzA5M2E4OTYiLCJ1c2VySWQiOiIxNzI2NjE4Mjg5In0=</vt:lpwstr>
  </property>
</Properties>
</file>