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194CA">
      <w:pPr>
        <w:pStyle w:val="4"/>
        <w:rPr>
          <w:rFonts w:hint="default"/>
        </w:rPr>
      </w:pPr>
      <w:r>
        <w:rPr>
          <w:rFonts w:hint="default"/>
        </w:rPr>
        <w:t>Method Process and Result Analysis Based on SupervisedML (Outline)</w:t>
      </w:r>
    </w:p>
    <w:p w14:paraId="598669BA">
      <w:pPr>
        <w:pStyle w:val="4"/>
        <w:rPr>
          <w:rFonts w:hint="default"/>
        </w:rPr>
      </w:pPr>
      <w:r>
        <w:rPr>
          <w:rFonts w:hint="default"/>
        </w:rPr>
        <w:t>Methodology</w:t>
      </w:r>
    </w:p>
    <w:p w14:paraId="6DF75058">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1. Data Preparation</w:t>
      </w:r>
    </w:p>
    <w:p w14:paraId="5629F19F">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Known </w:t>
      </w:r>
      <w:r>
        <w:rPr>
          <w:rFonts w:hint="eastAsia" w:ascii="Calibri" w:hAnsi="Calibri" w:eastAsia="SimSun" w:cs="Calibri"/>
          <w:b w:val="0"/>
          <w:bCs w:val="0"/>
          <w:color w:val="auto"/>
          <w:sz w:val="24"/>
          <w:szCs w:val="24"/>
          <w:lang w:val="en-US" w:eastAsia="zh-CN"/>
        </w:rPr>
        <w:t>RIF</w:t>
      </w:r>
      <w:r>
        <w:rPr>
          <w:rFonts w:hint="default" w:ascii="Calibri" w:hAnsi="Calibri" w:cs="Calibri"/>
          <w:b w:val="0"/>
          <w:bCs w:val="0"/>
          <w:color w:val="auto"/>
          <w:sz w:val="24"/>
          <w:szCs w:val="24"/>
        </w:rPr>
        <w:t>-resistance mutations are used as positive samples (Positive).</w:t>
      </w:r>
    </w:p>
    <w:p w14:paraId="5BBC3DAD">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Unknown/unreported mutations are used as unlabeled samples (Unlabeled).</w:t>
      </w:r>
    </w:p>
    <w:p w14:paraId="2157A612">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A binary matrix (X_dense) of species × mutations is formed.</w:t>
      </w:r>
    </w:p>
    <w:p w14:paraId="24DEEF3D">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2. Model Selection and Training</w:t>
      </w:r>
    </w:p>
    <w:p w14:paraId="61E3C8E0">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Random Forest is used as the base classifier for supervised learning.</w:t>
      </w:r>
    </w:p>
    <w:p w14:paraId="02E422A3">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Positive samples and unlabeled samples are combined using the PU-learning framework to build a model.</w:t>
      </w:r>
    </w:p>
    <w:p w14:paraId="0750E865">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During training, some known mutations are randomly masked to evaluate the model's resilience.</w:t>
      </w:r>
    </w:p>
    <w:p w14:paraId="054E6651">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3. Validation Strategy: Mask-then-Recover</w:t>
      </w:r>
    </w:p>
    <w:p w14:paraId="38D48A6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Mask some known mutations.</w:t>
      </w:r>
    </w:p>
    <w:p w14:paraId="2C58FAC1">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Use the model to predict candidate mutations.</w:t>
      </w:r>
    </w:p>
    <w:p w14:paraId="3316149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Calculate Recall@K to assess whether the masked mutations can be recovered in the top K predictions.</w:t>
      </w:r>
    </w:p>
    <w:p w14:paraId="295BB1DB">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4. Candidate Mutation Generation</w:t>
      </w:r>
    </w:p>
    <w:p w14:paraId="7784F7B1">
      <w:pPr>
        <w:pStyle w:val="4"/>
        <w:ind w:firstLine="720" w:firstLineChars="0"/>
        <w:rPr>
          <w:rFonts w:hint="default" w:ascii="Calibri" w:hAnsi="Calibri" w:cs="Calibri"/>
          <w:b/>
          <w:bCs/>
          <w:color w:val="auto"/>
          <w:sz w:val="24"/>
          <w:szCs w:val="24"/>
        </w:rPr>
      </w:pPr>
      <w:r>
        <w:rPr>
          <w:rFonts w:hint="default" w:ascii="Calibri" w:hAnsi="Calibri" w:cs="Calibri"/>
          <w:b/>
          <w:bCs/>
          <w:color w:val="auto"/>
          <w:sz w:val="24"/>
          <w:szCs w:val="24"/>
        </w:rPr>
        <w:t>Top-K Strategy:</w:t>
      </w:r>
      <w:r>
        <w:rPr>
          <w:rFonts w:hint="default" w:ascii="Calibri" w:hAnsi="Calibri" w:cs="Calibri"/>
          <w:b w:val="0"/>
          <w:bCs w:val="0"/>
          <w:color w:val="auto"/>
          <w:sz w:val="24"/>
          <w:szCs w:val="24"/>
        </w:rPr>
        <w:t xml:space="preserve"> Select the top K mutations with the highest predicted probability for each species.</w:t>
      </w:r>
    </w:p>
    <w:p w14:paraId="060C598A">
      <w:pPr>
        <w:pStyle w:val="4"/>
        <w:ind w:firstLine="720" w:firstLineChars="0"/>
        <w:rPr>
          <w:rFonts w:hint="default" w:ascii="Calibri" w:hAnsi="Calibri" w:cs="Calibri"/>
          <w:b w:val="0"/>
          <w:bCs w:val="0"/>
          <w:color w:val="auto"/>
          <w:sz w:val="24"/>
          <w:szCs w:val="24"/>
        </w:rPr>
      </w:pPr>
      <w:r>
        <w:rPr>
          <w:rFonts w:hint="default" w:ascii="Calibri" w:hAnsi="Calibri" w:cs="Calibri"/>
          <w:b w:val="0"/>
          <w:bCs w:val="0"/>
          <w:color w:val="auto"/>
          <w:sz w:val="24"/>
          <w:szCs w:val="24"/>
        </w:rPr>
        <w:t>Threshold Strategy: select mutations with p_true ≥ τ</w:t>
      </w:r>
      <w:r>
        <w:rPr>
          <w:rFonts w:hint="eastAsia" w:ascii="Calibri" w:hAnsi="Calibri" w:eastAsia="SimSun" w:cs="Calibri"/>
          <w:b w:val="0"/>
          <w:bCs w:val="0"/>
          <w:color w:val="auto"/>
          <w:sz w:val="24"/>
          <w:szCs w:val="24"/>
          <w:lang w:val="en-US" w:eastAsia="zh-CN"/>
        </w:rPr>
        <w:t>(0.7)</w:t>
      </w:r>
      <w:r>
        <w:rPr>
          <w:rFonts w:hint="default" w:ascii="Calibri" w:hAnsi="Calibri" w:cs="Calibri"/>
          <w:b w:val="0"/>
          <w:bCs w:val="0"/>
          <w:color w:val="auto"/>
          <w:sz w:val="24"/>
          <w:szCs w:val="24"/>
        </w:rPr>
        <w:t xml:space="preserve"> Generate a list of candidate mutations for subsequent analysis and experimental verification.</w:t>
      </w:r>
    </w:p>
    <w:p w14:paraId="53100ACF">
      <w:pPr>
        <w:rPr>
          <w:rFonts w:hint="default"/>
        </w:rPr>
      </w:pPr>
      <w:r>
        <w:rPr>
          <w:rFonts w:hint="default"/>
        </w:rPr>
        <w:t xml:space="preserve">5. Novelty Filtering </w:t>
      </w:r>
    </w:p>
    <w:p w14:paraId="334B6617">
      <w:pPr>
        <w:rPr>
          <w:rFonts w:hint="default"/>
        </w:rPr>
      </w:pPr>
    </w:p>
    <w:p w14:paraId="5A392DD6">
      <w:pPr>
        <w:rPr>
          <w:rFonts w:hint="default"/>
        </w:rPr>
      </w:pPr>
      <w:r>
        <w:rPr>
          <w:rFonts w:hint="default"/>
        </w:rPr>
        <w:t xml:space="preserve">Definition of novel. A mutation is “novel” if it does not appear in our compiled set of previously observed non-lab mutations after mapping all records to a unified E. coli rpoB amino-acid coordinate </w:t>
      </w:r>
    </w:p>
    <w:p w14:paraId="60821CB0">
      <w:pPr>
        <w:rPr>
          <w:rFonts w:hint="default"/>
        </w:rPr>
      </w:pPr>
      <w:r>
        <w:rPr>
          <w:rFonts w:hint="default"/>
        </w:rPr>
        <w:t>Construction of the non-lab set. We parse the Google Sheet (Origin ≠ “Lab mutant”), map records to E. coli coordinates  and build a blacklist S of observed mutations (two interchangeable modes):</w:t>
      </w:r>
    </w:p>
    <w:p w14:paraId="20C0C9AB">
      <w:pPr>
        <w:rPr>
          <w:rFonts w:hint="default"/>
        </w:rPr>
      </w:pPr>
    </w:p>
    <w:p w14:paraId="44653AAA">
      <w:pPr>
        <w:rPr>
          <w:rFonts w:hint="default"/>
        </w:rPr>
      </w:pPr>
      <w:r>
        <w:rPr>
          <w:rFonts w:hint="default"/>
          <w:b/>
          <w:bCs/>
        </w:rPr>
        <w:t>Global de-duplication</w:t>
      </w:r>
      <w:r>
        <w:rPr>
          <w:rFonts w:hint="default"/>
        </w:rPr>
        <w:t>: S = {Mutation} across all species (default).</w:t>
      </w:r>
    </w:p>
    <w:p w14:paraId="3A28B35C">
      <w:pPr>
        <w:rPr>
          <w:rFonts w:hint="default"/>
        </w:rPr>
      </w:pPr>
    </w:p>
    <w:p w14:paraId="7C4E8B09">
      <w:pPr>
        <w:rPr>
          <w:rFonts w:hint="default"/>
        </w:rPr>
      </w:pPr>
      <w:r>
        <w:rPr>
          <w:rFonts w:hint="default"/>
          <w:b/>
          <w:bCs/>
        </w:rPr>
        <w:t>Species-specific de-duplication</w:t>
      </w:r>
      <w:r>
        <w:rPr>
          <w:rFonts w:hint="default"/>
        </w:rPr>
        <w:t xml:space="preserve"> (optional): S = {(Species, Mutation)}.</w:t>
      </w:r>
    </w:p>
    <w:p w14:paraId="51CE263D">
      <w:pPr>
        <w:rPr>
          <w:rFonts w:hint="default"/>
        </w:rPr>
      </w:pPr>
      <w:r>
        <w:rPr>
          <w:rFonts w:hint="default"/>
        </w:rPr>
        <w:t>Filtering. We do not retrain the model. We filter the scored candidates by excluding anything in S.</w:t>
      </w:r>
    </w:p>
    <w:p w14:paraId="0FEAC60D">
      <w:pPr>
        <w:rPr>
          <w:rFonts w:hint="default"/>
        </w:rPr>
      </w:pPr>
      <w:r>
        <w:rPr>
          <w:rFonts w:hint="default"/>
        </w:rPr>
        <w:t>For Top-K, we refill from the remaining pool (highest p_true) until reaching K or the pool is exhausted.</w:t>
      </w:r>
    </w:p>
    <w:p w14:paraId="40EDEC61">
      <w:pPr>
        <w:rPr>
          <w:rFonts w:hint="default"/>
        </w:rPr>
      </w:pPr>
      <w:r>
        <w:rPr>
          <w:rFonts w:hint="default"/>
        </w:rPr>
        <w:t>For Threshold, we simply keep items with p_true ≥ τ and Mutation ∉ S.</w:t>
      </w:r>
    </w:p>
    <w:p w14:paraId="2515DFD2">
      <w:pPr>
        <w:rPr>
          <w:rFonts w:hint="default"/>
        </w:rPr>
      </w:pPr>
    </w:p>
    <w:p w14:paraId="28669206"/>
    <w:p w14:paraId="12E31078">
      <w:pPr>
        <w:rPr>
          <w:b/>
          <w:bCs/>
          <w:sz w:val="28"/>
          <w:szCs w:val="28"/>
        </w:rPr>
      </w:pPr>
    </w:p>
    <w:p w14:paraId="7C9CD236">
      <w:pPr>
        <w:rPr>
          <w:rFonts w:hint="default" w:eastAsia="SimSun"/>
          <w:b/>
          <w:bCs/>
          <w:sz w:val="28"/>
          <w:szCs w:val="28"/>
          <w:lang w:val="en-US" w:eastAsia="zh-CN"/>
        </w:rPr>
      </w:pPr>
      <w:r>
        <w:rPr>
          <w:rFonts w:hint="eastAsia" w:eastAsia="SimSun"/>
          <w:b/>
          <w:bCs/>
          <w:sz w:val="28"/>
          <w:szCs w:val="28"/>
          <w:lang w:val="en-US" w:eastAsia="zh-CN"/>
        </w:rPr>
        <w:t>Analysis of  Figures：</w:t>
      </w:r>
    </w:p>
    <w:p w14:paraId="42B55C9A">
      <w:pPr>
        <w:rPr>
          <w:rFonts w:hint="eastAsia" w:eastAsia="SimSun"/>
          <w:lang w:val="en-US" w:eastAsia="zh-CN"/>
        </w:rPr>
      </w:pPr>
    </w:p>
    <w:p w14:paraId="60EC020D">
      <w:pPr>
        <w:rPr>
          <w:rFonts w:hint="eastAsia" w:eastAsia="SimSun"/>
          <w:lang w:val="en-US" w:eastAsia="zh-CN"/>
        </w:rPr>
      </w:pPr>
    </w:p>
    <w:p w14:paraId="4ABAA6FA">
      <w:pPr>
        <w:rPr>
          <w:rFonts w:hint="default" w:eastAsia="SimSun"/>
          <w:lang w:val="en-US" w:eastAsia="zh-CN"/>
        </w:rPr>
      </w:pPr>
      <w:r>
        <w:rPr>
          <w:rFonts w:hint="default" w:eastAsia="SimSun"/>
          <w:lang w:val="en-US" w:eastAsia="zh-CN"/>
        </w:rPr>
        <w:t>Fig1 – Novel threshold method: the number of candidate species</w:t>
      </w:r>
    </w:p>
    <w:p w14:paraId="12419B09">
      <w:pPr>
        <w:rPr>
          <w:rFonts w:hint="default" w:eastAsia="SimSun"/>
          <w:lang w:val="en-US" w:eastAsia="zh-CN"/>
        </w:rPr>
      </w:pPr>
      <w:r>
        <w:rPr>
          <w:rFonts w:hint="eastAsia" w:eastAsia="SimSun"/>
          <w:lang w:val="en-US" w:eastAsia="zh-CN"/>
        </w:rPr>
        <w:drawing>
          <wp:inline distT="0" distB="0" distL="114300" distR="114300">
            <wp:extent cx="5486400" cy="4389120"/>
            <wp:effectExtent l="0" t="0" r="0" b="0"/>
            <wp:docPr id="8" name="图片 8" descr="fig1_candidates_per_species_threshold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1_candidates_per_species_threshold_novel"/>
                    <pic:cNvPicPr>
                      <a:picLocks noChangeAspect="1"/>
                    </pic:cNvPicPr>
                  </pic:nvPicPr>
                  <pic:blipFill>
                    <a:blip r:embed="rId6"/>
                    <a:stretch>
                      <a:fillRect/>
                    </a:stretch>
                  </pic:blipFill>
                  <pic:spPr>
                    <a:xfrm>
                      <a:off x="0" y="0"/>
                      <a:ext cx="5486400" cy="4389120"/>
                    </a:xfrm>
                    <a:prstGeom prst="rect">
                      <a:avLst/>
                    </a:prstGeom>
                  </pic:spPr>
                </pic:pic>
              </a:graphicData>
            </a:graphic>
          </wp:inline>
        </w:drawing>
      </w:r>
    </w:p>
    <w:p w14:paraId="5393A601">
      <w:pPr>
        <w:rPr>
          <w:rFonts w:hint="default" w:eastAsia="SimSun"/>
          <w:lang w:val="en-US" w:eastAsia="zh-CN"/>
        </w:rPr>
      </w:pPr>
    </w:p>
    <w:p w14:paraId="4A3847D9">
      <w:pPr>
        <w:rPr>
          <w:rFonts w:hint="default" w:eastAsia="SimSun"/>
          <w:lang w:val="en-US" w:eastAsia="zh-CN"/>
        </w:rPr>
      </w:pPr>
      <w:r>
        <w:rPr>
          <w:rFonts w:hint="default" w:eastAsia="SimSun"/>
          <w:lang w:val="en-US" w:eastAsia="zh-CN"/>
        </w:rPr>
        <w:t>结论：Candidates were highly heterogeneous (Deinococcus radiodurans≈6, Pseudomonas putida / E. coli≈4</w:t>
      </w:r>
      <w:r>
        <w:rPr>
          <w:rFonts w:hint="eastAsia" w:eastAsia="SimSun"/>
          <w:lang w:val="en-US" w:eastAsia="zh-CN"/>
        </w:rPr>
        <w:t>,rest of species</w:t>
      </w:r>
    </w:p>
    <w:p w14:paraId="43A84CB0">
      <w:pPr>
        <w:rPr>
          <w:rFonts w:hint="default" w:eastAsia="SimSun"/>
          <w:lang w:val="en-US" w:eastAsia="zh-CN"/>
        </w:rPr>
      </w:pPr>
    </w:p>
    <w:p w14:paraId="2754C751">
      <w:pPr>
        <w:rPr>
          <w:rFonts w:hint="default" w:eastAsia="SimSun"/>
          <w:lang w:val="en-US" w:eastAsia="zh-CN"/>
        </w:rPr>
      </w:pPr>
    </w:p>
    <w:p w14:paraId="608C50E4">
      <w:pPr>
        <w:rPr>
          <w:rFonts w:hint="default" w:eastAsia="SimSun"/>
          <w:lang w:val="en-US" w:eastAsia="zh-CN"/>
        </w:rPr>
      </w:pPr>
      <w:r>
        <w:rPr>
          <w:rFonts w:hint="default" w:eastAsia="SimSun"/>
          <w:lang w:val="en-US" w:eastAsia="zh-CN"/>
        </w:rPr>
        <w:t>Fig2 – novel per-species Top-K</w:t>
      </w:r>
      <w:r>
        <w:rPr>
          <w:rFonts w:hint="eastAsia" w:eastAsia="SimSun"/>
          <w:lang w:val="en-US" w:eastAsia="zh-CN"/>
        </w:rPr>
        <w:t xml:space="preserve"> column figs</w:t>
      </w:r>
    </w:p>
    <w:p w14:paraId="348711D0">
      <w:pPr>
        <w:rPr>
          <w:rFonts w:hint="default" w:eastAsia="SimSun"/>
          <w:lang w:val="en-US" w:eastAsia="zh-CN"/>
        </w:rPr>
      </w:pPr>
      <w:r>
        <w:rPr>
          <w:rFonts w:hint="eastAsia" w:eastAsia="SimSun"/>
          <w:lang w:val="en-US" w:eastAsia="zh-CN"/>
        </w:rPr>
        <w:drawing>
          <wp:inline distT="0" distB="0" distL="114300" distR="114300">
            <wp:extent cx="5480685" cy="3653790"/>
            <wp:effectExtent l="0" t="0" r="5715" b="3810"/>
            <wp:docPr id="5" name="图片 5"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2_topk_by_species_bar_novel"/>
                    <pic:cNvPicPr>
                      <a:picLocks noChangeAspect="1"/>
                    </pic:cNvPicPr>
                  </pic:nvPicPr>
                  <pic:blipFill>
                    <a:blip r:embed="rId7"/>
                    <a:stretch>
                      <a:fillRect/>
                    </a:stretch>
                  </pic:blipFill>
                  <pic:spPr>
                    <a:xfrm>
                      <a:off x="0" y="0"/>
                      <a:ext cx="5480685" cy="3653790"/>
                    </a:xfrm>
                    <a:prstGeom prst="rect">
                      <a:avLst/>
                    </a:prstGeom>
                  </pic:spPr>
                </pic:pic>
              </a:graphicData>
            </a:graphic>
          </wp:inline>
        </w:drawing>
      </w:r>
    </w:p>
    <w:p w14:paraId="2578D853">
      <w:pPr>
        <w:rPr>
          <w:rFonts w:hint="default" w:eastAsia="SimSun"/>
          <w:lang w:val="en-US" w:eastAsia="zh-CN"/>
        </w:rPr>
      </w:pPr>
      <w:r>
        <w:rPr>
          <w:rFonts w:hint="default" w:eastAsia="SimSun"/>
          <w:lang w:val="en-US" w:eastAsia="zh-CN"/>
        </w:rPr>
        <w:t>Both B. anthracis and M. tuberculosis ranked rpoB_Q148R very highly (p_true ~0.7–0.8), along with the S574 series and L533H.</w:t>
      </w:r>
    </w:p>
    <w:p w14:paraId="3787C319">
      <w:pPr>
        <w:rPr>
          <w:rFonts w:hint="default" w:eastAsia="SimSun"/>
          <w:lang w:val="en-US" w:eastAsia="zh-CN"/>
        </w:rPr>
      </w:pPr>
    </w:p>
    <w:p w14:paraId="49EC1CE7">
      <w:pPr>
        <w:rPr>
          <w:rFonts w:hint="default" w:eastAsia="SimSun"/>
          <w:lang w:val="en-US" w:eastAsia="zh-CN"/>
        </w:rPr>
      </w:pPr>
      <w:r>
        <w:rPr>
          <w:rFonts w:hint="default" w:eastAsia="SimSun"/>
          <w:lang w:val="en-US" w:eastAsia="zh-CN"/>
        </w:rPr>
        <w:t>P. aeruginosa only had two remaining entries (L533H and G534D), both of which were highly ranked (~0.75–0.8).</w:t>
      </w:r>
    </w:p>
    <w:p w14:paraId="37BD41C9">
      <w:pPr>
        <w:rPr>
          <w:rFonts w:hint="default" w:eastAsia="SimSun"/>
          <w:lang w:val="en-US" w:eastAsia="zh-CN"/>
        </w:rPr>
      </w:pPr>
    </w:p>
    <w:p w14:paraId="3A62FFD3">
      <w:pPr>
        <w:rPr>
          <w:rFonts w:hint="default" w:eastAsia="SimSun"/>
          <w:lang w:val="en-US" w:eastAsia="zh-CN"/>
        </w:rPr>
      </w:pPr>
      <w:r>
        <w:rPr>
          <w:rFonts w:hint="default" w:eastAsia="SimSun"/>
          <w:lang w:val="en-US" w:eastAsia="zh-CN"/>
        </w:rPr>
        <w:t>Implications: Cross-species co-occurring sites (148, 533, 574, 512, 572, etc.) appear repeatedly, and the model considers these sites "unreported but likely to occur."</w:t>
      </w:r>
    </w:p>
    <w:p w14:paraId="2D36DD53">
      <w:pPr>
        <w:rPr>
          <w:rFonts w:hint="default" w:eastAsia="SimSun"/>
          <w:lang w:val="en-US" w:eastAsia="zh-CN"/>
        </w:rPr>
      </w:pPr>
      <w:r>
        <w:rPr>
          <w:rFonts w:hint="default" w:eastAsia="SimSun"/>
          <w:lang w:val="en-US" w:eastAsia="zh-CN"/>
        </w:rPr>
        <w:t>Fig3 – novel Top-15</w:t>
      </w:r>
      <w:r>
        <w:rPr>
          <w:rFonts w:hint="eastAsia" w:eastAsia="SimSun"/>
          <w:lang w:val="en-US" w:eastAsia="zh-CN"/>
        </w:rPr>
        <w:t xml:space="preserve"> in species heatmap</w:t>
      </w:r>
    </w:p>
    <w:p w14:paraId="74C4D57B">
      <w:pPr>
        <w:rPr>
          <w:rFonts w:hint="default" w:eastAsia="SimSun"/>
          <w:lang w:val="en-US" w:eastAsia="zh-CN"/>
        </w:rPr>
      </w:pPr>
      <w:r>
        <w:rPr>
          <w:rFonts w:hint="eastAsia" w:eastAsia="SimSun"/>
          <w:lang w:val="en-US" w:eastAsia="zh-CN"/>
        </w:rPr>
        <w:drawing>
          <wp:inline distT="0" distB="0" distL="114300" distR="114300">
            <wp:extent cx="5486400" cy="3429000"/>
            <wp:effectExtent l="0" t="0" r="0" b="0"/>
            <wp:docPr id="9" name="图片 9"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3_heatmap_topN_per_species_novel"/>
                    <pic:cNvPicPr>
                      <a:picLocks noChangeAspect="1"/>
                    </pic:cNvPicPr>
                  </pic:nvPicPr>
                  <pic:blipFill>
                    <a:blip r:embed="rId8"/>
                    <a:stretch>
                      <a:fillRect/>
                    </a:stretch>
                  </pic:blipFill>
                  <pic:spPr>
                    <a:xfrm>
                      <a:off x="0" y="0"/>
                      <a:ext cx="5486400" cy="3429000"/>
                    </a:xfrm>
                    <a:prstGeom prst="rect">
                      <a:avLst/>
                    </a:prstGeom>
                  </pic:spPr>
                </pic:pic>
              </a:graphicData>
            </a:graphic>
          </wp:inline>
        </w:drawing>
      </w:r>
    </w:p>
    <w:p w14:paraId="78819C25">
      <w:pPr>
        <w:rPr>
          <w:rFonts w:hint="default" w:eastAsia="SimSun"/>
          <w:lang w:val="en-US" w:eastAsia="zh-CN"/>
        </w:rPr>
      </w:pPr>
      <w:r>
        <w:rPr>
          <w:rFonts w:hint="default" w:eastAsia="SimSun"/>
          <w:lang w:val="en-US" w:eastAsia="zh-CN"/>
        </w:rPr>
        <w:t>The columns are basically the hotspot sites mentioned above. Many species have dark blocks (high scores) in these columns, and white blocks indicate that the species does not list the mutation in the top 15.</w:t>
      </w:r>
    </w:p>
    <w:p w14:paraId="7DF47781">
      <w:pPr>
        <w:rPr>
          <w:rFonts w:hint="default" w:eastAsia="SimSun"/>
          <w:lang w:val="en-US" w:eastAsia="zh-CN"/>
        </w:rPr>
      </w:pPr>
    </w:p>
    <w:p w14:paraId="54149149">
      <w:pPr>
        <w:rPr>
          <w:rFonts w:hint="default" w:eastAsia="SimSun"/>
          <w:lang w:val="en-US" w:eastAsia="zh-CN"/>
        </w:rPr>
      </w:pPr>
    </w:p>
    <w:p w14:paraId="6861F629">
      <w:pPr>
        <w:rPr>
          <w:rFonts w:hint="default" w:eastAsia="SimSun"/>
          <w:lang w:val="en-US" w:eastAsia="zh-CN"/>
        </w:rPr>
      </w:pPr>
    </w:p>
    <w:p w14:paraId="05019208">
      <w:pPr>
        <w:rPr>
          <w:rFonts w:hint="default" w:eastAsia="SimSun"/>
          <w:lang w:val="en-US" w:eastAsia="zh-CN"/>
        </w:rPr>
      </w:pPr>
      <w:r>
        <w:rPr>
          <w:rFonts w:hint="default" w:eastAsia="SimSun"/>
          <w:lang w:val="en-US" w:eastAsia="zh-CN"/>
        </w:rPr>
        <w:t>Fig4a/4b – novel threshold scanning</w:t>
      </w:r>
    </w:p>
    <w:p w14:paraId="79F2BA67">
      <w:pPr>
        <w:rPr>
          <w:rFonts w:hint="eastAsia" w:eastAsia="SimSun"/>
          <w:lang w:val="en-US" w:eastAsia="zh-CN"/>
        </w:rPr>
      </w:pPr>
      <w:r>
        <w:rPr>
          <w:rFonts w:hint="eastAsia" w:eastAsia="SimSun"/>
          <w:lang w:val="en-US" w:eastAsia="zh-CN"/>
        </w:rPr>
        <w:drawing>
          <wp:inline distT="0" distB="0" distL="114300" distR="114300">
            <wp:extent cx="5485765" cy="3544570"/>
            <wp:effectExtent l="0" t="0" r="635" b="6350"/>
            <wp:docPr id="3" name="图片 3" descr="fig4a_threshold_sweep_candidat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4a_threshold_sweep_candidates_novel"/>
                    <pic:cNvPicPr>
                      <a:picLocks noChangeAspect="1"/>
                    </pic:cNvPicPr>
                  </pic:nvPicPr>
                  <pic:blipFill>
                    <a:blip r:embed="rId9"/>
                    <a:stretch>
                      <a:fillRect/>
                    </a:stretch>
                  </pic:blipFill>
                  <pic:spPr>
                    <a:xfrm>
                      <a:off x="0" y="0"/>
                      <a:ext cx="5485765" cy="3544570"/>
                    </a:xfrm>
                    <a:prstGeom prst="rect">
                      <a:avLst/>
                    </a:prstGeom>
                  </pic:spPr>
                </pic:pic>
              </a:graphicData>
            </a:graphic>
          </wp:inline>
        </w:drawing>
      </w:r>
    </w:p>
    <w:p w14:paraId="4CEFCC30">
      <w:pPr>
        <w:rPr>
          <w:rFonts w:hint="default" w:eastAsia="SimSun"/>
          <w:lang w:val="en-US" w:eastAsia="zh-CN"/>
        </w:rPr>
      </w:pPr>
      <w:r>
        <w:rPr>
          <w:rFonts w:hint="eastAsia" w:eastAsia="SimSun"/>
          <w:lang w:val="en-US" w:eastAsia="zh-CN"/>
        </w:rPr>
        <w:drawing>
          <wp:inline distT="0" distB="0" distL="114300" distR="114300">
            <wp:extent cx="5485765" cy="3544570"/>
            <wp:effectExtent l="0" t="0" r="635" b="6350"/>
            <wp:docPr id="2" name="图片 2" descr="fig4b_threshold_sweep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4b_threshold_sweep_species_novel"/>
                    <pic:cNvPicPr>
                      <a:picLocks noChangeAspect="1"/>
                    </pic:cNvPicPr>
                  </pic:nvPicPr>
                  <pic:blipFill>
                    <a:blip r:embed="rId10"/>
                    <a:stretch>
                      <a:fillRect/>
                    </a:stretch>
                  </pic:blipFill>
                  <pic:spPr>
                    <a:xfrm>
                      <a:off x="0" y="0"/>
                      <a:ext cx="5485765" cy="3544570"/>
                    </a:xfrm>
                    <a:prstGeom prst="rect">
                      <a:avLst/>
                    </a:prstGeom>
                  </pic:spPr>
                </pic:pic>
              </a:graphicData>
            </a:graphic>
          </wp:inline>
        </w:drawing>
      </w:r>
    </w:p>
    <w:p w14:paraId="0A127772">
      <w:pPr>
        <w:rPr>
          <w:rFonts w:hint="default" w:eastAsia="SimSun"/>
          <w:lang w:val="en-US" w:eastAsia="zh-CN"/>
        </w:rPr>
      </w:pPr>
      <w:r>
        <w:rPr>
          <w:rFonts w:hint="default" w:eastAsia="SimSun"/>
          <w:lang w:val="en-US" w:eastAsia="zh-CN"/>
        </w:rPr>
        <w:t>Conclusion: The number of candidates and coverage remain high at 0.7 (but decrease significantly after 0.75).</w:t>
      </w:r>
    </w:p>
    <w:p w14:paraId="5264717F">
      <w:pPr>
        <w:rPr>
          <w:rFonts w:hint="default" w:eastAsia="SimSun"/>
          <w:lang w:val="en-US" w:eastAsia="zh-CN"/>
        </w:rPr>
      </w:pPr>
    </w:p>
    <w:p w14:paraId="5C32E201">
      <w:pPr>
        <w:rPr>
          <w:rFonts w:hint="default" w:eastAsia="SimSun"/>
          <w:lang w:val="en-US" w:eastAsia="zh-CN"/>
        </w:rPr>
      </w:pPr>
      <w:r>
        <w:rPr>
          <w:rFonts w:hint="default" w:eastAsia="SimSun"/>
          <w:lang w:val="en-US" w:eastAsia="zh-CN"/>
        </w:rPr>
        <w:t>Thus, in the paper, I can say that τ≈0.7 is a good balance; &gt;0.8 significantly sacrifices coverage.</w:t>
      </w:r>
    </w:p>
    <w:p w14:paraId="47D2B9BA">
      <w:pPr>
        <w:rPr>
          <w:rFonts w:hint="default" w:eastAsia="SimSun"/>
          <w:lang w:val="en-US" w:eastAsia="zh-CN"/>
        </w:rPr>
      </w:pPr>
    </w:p>
    <w:p w14:paraId="761F5ADB">
      <w:pPr>
        <w:rPr>
          <w:rFonts w:hint="default" w:eastAsia="SimSun"/>
          <w:lang w:val="en-US" w:eastAsia="zh-CN"/>
        </w:rPr>
      </w:pPr>
      <w:r>
        <w:rPr>
          <w:rFonts w:hint="default" w:eastAsia="SimSun"/>
          <w:lang w:val="en-US" w:eastAsia="zh-CN"/>
        </w:rPr>
        <w:t xml:space="preserve">Fig5 </w:t>
      </w:r>
    </w:p>
    <w:p w14:paraId="5C22510D">
      <w:pPr>
        <w:rPr>
          <w:rFonts w:hint="default" w:eastAsia="SimSun"/>
          <w:lang w:val="en-US" w:eastAsia="zh-CN"/>
        </w:rPr>
      </w:pPr>
      <w:r>
        <w:rPr>
          <w:rFonts w:hint="default" w:eastAsia="SimSun"/>
          <w:lang w:val="en-US" w:eastAsia="zh-CN"/>
        </w:rPr>
        <w:drawing>
          <wp:inline distT="0" distB="0" distL="114300" distR="114300">
            <wp:extent cx="5486400" cy="4389120"/>
            <wp:effectExtent l="0" t="0" r="0" b="0"/>
            <wp:docPr id="10" name="图片 10" descr="fig5_hot_mutations_across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5_hot_mutations_across_species_novel"/>
                    <pic:cNvPicPr>
                      <a:picLocks noChangeAspect="1"/>
                    </pic:cNvPicPr>
                  </pic:nvPicPr>
                  <pic:blipFill>
                    <a:blip r:embed="rId11"/>
                    <a:stretch>
                      <a:fillRect/>
                    </a:stretch>
                  </pic:blipFill>
                  <pic:spPr>
                    <a:xfrm>
                      <a:off x="0" y="0"/>
                      <a:ext cx="5486400" cy="4389120"/>
                    </a:xfrm>
                    <a:prstGeom prst="rect">
                      <a:avLst/>
                    </a:prstGeom>
                  </pic:spPr>
                </pic:pic>
              </a:graphicData>
            </a:graphic>
          </wp:inline>
        </w:drawing>
      </w:r>
    </w:p>
    <w:p w14:paraId="453361A4">
      <w:pPr>
        <w:rPr>
          <w:rFonts w:hint="default" w:eastAsia="SimSun"/>
          <w:lang w:val="en-US" w:eastAsia="zh-CN"/>
        </w:rPr>
      </w:pPr>
      <w:r>
        <w:rPr>
          <w:rFonts w:hint="default" w:eastAsia="SimSun"/>
          <w:lang w:val="en-US" w:eastAsia="zh-CN"/>
        </w:rPr>
        <w:t>rpoB_Q148R entered high scores in the most species (~10), followed by L533H, S574Y/F, S512P/F, I572S, and G534D.</w:t>
      </w:r>
    </w:p>
    <w:p w14:paraId="28C424B3">
      <w:pPr>
        <w:rPr>
          <w:rFonts w:hint="default" w:eastAsia="SimSun"/>
          <w:lang w:val="en-US" w:eastAsia="zh-CN"/>
        </w:rPr>
      </w:pPr>
    </w:p>
    <w:p w14:paraId="7575B2B3">
      <w:pPr>
        <w:rPr>
          <w:rFonts w:hint="default" w:eastAsia="SimSun"/>
          <w:lang w:val="en-US" w:eastAsia="zh-CN"/>
        </w:rPr>
      </w:pPr>
    </w:p>
    <w:p w14:paraId="21ECE587">
      <w:pPr>
        <w:rPr>
          <w:rFonts w:hint="default" w:eastAsia="SimSun"/>
          <w:b/>
          <w:bCs/>
          <w:lang w:val="en-US" w:eastAsia="zh-CN"/>
        </w:rPr>
      </w:pPr>
    </w:p>
    <w:p w14:paraId="4C69E5F8">
      <w:pPr>
        <w:rPr>
          <w:rFonts w:hint="default" w:eastAsia="SimSun"/>
          <w:b/>
          <w:bCs/>
          <w:lang w:val="en-US" w:eastAsia="zh-CN"/>
        </w:rPr>
      </w:pPr>
      <w:r>
        <w:rPr>
          <w:rFonts w:hint="default" w:eastAsia="SimSun"/>
          <w:b/>
          <w:bCs/>
          <w:lang w:val="en-US" w:eastAsia="zh-CN"/>
        </w:rPr>
        <w:t xml:space="preserve">Masked vs Unmasked_cf </w:t>
      </w:r>
      <w:r>
        <w:rPr>
          <w:rFonts w:hint="eastAsia" w:eastAsia="SimSun"/>
          <w:b/>
          <w:bCs/>
          <w:lang w:val="en-US" w:eastAsia="zh-CN"/>
        </w:rPr>
        <w:t xml:space="preserve"> description</w:t>
      </w:r>
    </w:p>
    <w:p w14:paraId="5DC02E85">
      <w:pPr>
        <w:rPr>
          <w:rFonts w:hint="default" w:eastAsia="SimSun"/>
          <w:lang w:val="en-US" w:eastAsia="zh-CN"/>
        </w:rPr>
      </w:pPr>
    </w:p>
    <w:p w14:paraId="07A72C19">
      <w:pPr>
        <w:rPr>
          <w:rFonts w:hint="default" w:eastAsia="SimSun"/>
          <w:lang w:val="en-US" w:eastAsia="zh-CN"/>
        </w:rPr>
      </w:pPr>
      <w:r>
        <w:rPr>
          <w:rFonts w:hint="default" w:eastAsia="SimSun"/>
          <w:b/>
          <w:bCs/>
          <w:lang w:val="en-US" w:eastAsia="zh-CN"/>
        </w:rPr>
        <w:t>Masked</w:t>
      </w:r>
      <w:r>
        <w:rPr>
          <w:rFonts w:hint="default" w:eastAsia="SimSun"/>
          <w:lang w:val="en-US" w:eastAsia="zh-CN"/>
        </w:rPr>
        <w:t>: Mask some known true positives as unlabeled (0), then train and retrieve them in the unlabeled pool, and calculate Recall@K. → Closer to the difficulty of "real discovery", should be more conservative.</w:t>
      </w:r>
    </w:p>
    <w:p w14:paraId="67F826EE">
      <w:pPr>
        <w:rPr>
          <w:rFonts w:hint="default" w:eastAsia="SimSun"/>
          <w:lang w:val="en-US" w:eastAsia="zh-CN"/>
        </w:rPr>
      </w:pPr>
      <w:r>
        <w:rPr>
          <w:rFonts w:hint="default" w:eastAsia="SimSun"/>
          <w:b/>
          <w:bCs/>
          <w:lang w:val="en-US" w:eastAsia="zh-CN"/>
        </w:rPr>
        <w:t>Unmasked_cf (counterfactual)</w:t>
      </w:r>
      <w:r>
        <w:rPr>
          <w:rFonts w:hint="default" w:eastAsia="SimSun"/>
          <w:lang w:val="en-US" w:eastAsia="zh-CN"/>
        </w:rPr>
        <w:t xml:space="preserve">: These true positives are not masked (still participate in training as positive examples), but we use the scores of the same model to put them into the unlabeled pool, and compare them with the unlabeled scores to calculate "how high they would be ranked if they were also unlabeled." This is an "upper bound/optimistic" reference, usually higher than Masked. </w:t>
      </w:r>
    </w:p>
    <w:p w14:paraId="7BBB243A">
      <w:pPr>
        <w:rPr>
          <w:rFonts w:hint="default" w:eastAsia="SimSun"/>
          <w:lang w:val="en-US" w:eastAsia="zh-CN"/>
        </w:rPr>
      </w:pPr>
      <w:r>
        <w:rPr>
          <w:rFonts w:hint="default" w:eastAsia="SimSun"/>
          <w:lang w:val="en-US" w:eastAsia="zh-CN"/>
        </w:rPr>
        <w:t>Box plot (gray/pink/blue rectangle): The interquartile range of the group (Masked or Unmasked_cf) under multiple repeats</w:t>
      </w:r>
      <w:r>
        <w:rPr>
          <w:rFonts w:hint="eastAsia" w:eastAsia="SimSun"/>
          <w:lang w:val="en-US" w:eastAsia="zh-CN"/>
        </w:rPr>
        <w:t>.</w:t>
      </w:r>
    </w:p>
    <w:p w14:paraId="181898B2">
      <w:pPr>
        <w:rPr>
          <w:rFonts w:hint="default" w:eastAsia="SimSun"/>
          <w:lang w:val="en-US" w:eastAsia="zh-CN"/>
        </w:rPr>
      </w:pPr>
      <w:r>
        <w:rPr>
          <w:rFonts w:hint="default" w:eastAsia="SimSun"/>
          <w:lang w:val="en-US" w:eastAsia="zh-CN"/>
        </w:rPr>
        <w:t xml:space="preserve">Therefore, the "height" of the box reflects the dispersion of the distribution (IQR = Q3 − Q1); the "higher" means the greater the fluctuation. </w:t>
      </w:r>
    </w:p>
    <w:p w14:paraId="6FDDAFCB">
      <w:pPr>
        <w:rPr>
          <w:rFonts w:hint="default" w:eastAsia="SimSun"/>
          <w:lang w:val="en-US" w:eastAsia="zh-CN"/>
        </w:rPr>
      </w:pPr>
    </w:p>
    <w:p w14:paraId="547BEAF8">
      <w:pPr>
        <w:rPr>
          <w:rFonts w:hint="default" w:eastAsia="SimSun"/>
          <w:lang w:val="en-US" w:eastAsia="zh-CN"/>
        </w:rPr>
      </w:pPr>
      <w:r>
        <w:rPr>
          <w:rFonts w:hint="default" w:eastAsia="SimSun"/>
          <w:lang w:val="en-US" w:eastAsia="zh-CN"/>
        </w:rPr>
        <w:t>"Whiskers" (thin lines outside the box): The minimum/maximum values ​​extending from the box to non-outliers (usually the extreme values ​​in the range Q1 − 1.5 × IQR to Q3 + 1.5 × IQR).</w:t>
      </w:r>
    </w:p>
    <w:p w14:paraId="7FF454CB">
      <w:pPr>
        <w:rPr>
          <w:rFonts w:hint="default" w:eastAsia="SimSun"/>
          <w:lang w:val="en-US" w:eastAsia="zh-CN"/>
        </w:rPr>
      </w:pPr>
    </w:p>
    <w:p w14:paraId="4A29BAD8">
      <w:pPr>
        <w:rPr>
          <w:rFonts w:hint="default" w:eastAsia="SimSun"/>
          <w:lang w:val="en-US" w:eastAsia="zh-CN"/>
        </w:rPr>
      </w:pPr>
      <w:r>
        <w:rPr>
          <w:rFonts w:hint="default" w:eastAsia="SimSun"/>
          <w:lang w:val="en-US" w:eastAsia="zh-CN"/>
        </w:rPr>
        <w:t xml:space="preserve">Black dots: Outliers, i.e., individual replicates that fall outside the whiskers (significantly lower or higher under certain folds/samples).·  </w:t>
      </w:r>
    </w:p>
    <w:p w14:paraId="65E0B9DA">
      <w:pPr>
        <w:rPr>
          <w:rFonts w:hint="default" w:eastAsia="SimSun"/>
          <w:lang w:val="en-US" w:eastAsia="zh-CN"/>
        </w:rPr>
      </w:pPr>
      <w:r>
        <w:rPr>
          <w:rFonts w:hint="default" w:eastAsia="SimSun"/>
          <w:lang w:val="en-US" w:eastAsia="zh-CN"/>
        </w:rPr>
        <w:drawing>
          <wp:inline distT="0" distB="0" distL="114300" distR="114300">
            <wp:extent cx="5480685" cy="3349625"/>
            <wp:effectExtent l="0" t="0" r="5715" b="3175"/>
            <wp:docPr id="7" name="图片 7"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_top_species_mask_vs_unmask_K20"/>
                    <pic:cNvPicPr>
                      <a:picLocks noChangeAspect="1"/>
                    </pic:cNvPicPr>
                  </pic:nvPicPr>
                  <pic:blipFill>
                    <a:blip r:embed="rId12"/>
                    <a:stretch>
                      <a:fillRect/>
                    </a:stretch>
                  </pic:blipFill>
                  <pic:spPr>
                    <a:xfrm>
                      <a:off x="0" y="0"/>
                      <a:ext cx="5480685" cy="3349625"/>
                    </a:xfrm>
                    <a:prstGeom prst="rect">
                      <a:avLst/>
                    </a:prstGeom>
                  </pic:spPr>
                </pic:pic>
              </a:graphicData>
            </a:graphic>
          </wp:inline>
        </w:drawing>
      </w:r>
    </w:p>
    <w:p w14:paraId="3CA757A8">
      <w:pPr>
        <w:rPr>
          <w:rFonts w:hint="default" w:eastAsia="SimSun"/>
          <w:lang w:val="en-US" w:eastAsia="zh-CN"/>
        </w:rPr>
      </w:pPr>
      <w:r>
        <w:rPr>
          <w:rFonts w:hint="default" w:eastAsia="SimSun"/>
          <w:lang w:val="en-US" w:eastAsia="zh-CN"/>
        </w:rPr>
        <w:t>For all five species, Unmasked_cf is higher than Masked (expected). Unmasked_cf is a counterfactual bound for "unmasked true positives": they still participate in training as positive examples, resulting in a more optimistic score. Masked, on the other hand, inserts some true positives into the unlabeled pool and then "recovers" them, which is closer to the actual difficulty level.</w:t>
      </w:r>
    </w:p>
    <w:p w14:paraId="168C13CC">
      <w:pPr>
        <w:rPr>
          <w:rFonts w:hint="default" w:eastAsia="SimSun"/>
          <w:lang w:val="en-US" w:eastAsia="zh-CN"/>
        </w:rPr>
      </w:pPr>
    </w:p>
    <w:p w14:paraId="39A6A730">
      <w:pPr>
        <w:rPr>
          <w:rFonts w:hint="default" w:eastAsia="SimSun"/>
          <w:lang w:val="en-US" w:eastAsia="zh-CN"/>
        </w:rPr>
      </w:pPr>
      <w:r>
        <w:rPr>
          <w:rFonts w:hint="default" w:eastAsia="SimSun"/>
          <w:lang w:val="en-US" w:eastAsia="zh-CN"/>
        </w:rPr>
        <w:t>P. Aeruginosa</w:t>
      </w:r>
      <w:r>
        <w:rPr>
          <w:rFonts w:hint="eastAsia" w:eastAsia="SimSun"/>
          <w:lang w:val="en-US" w:eastAsia="zh-CN"/>
        </w:rPr>
        <w:t xml:space="preserve"> has the </w:t>
      </w:r>
      <w:r>
        <w:rPr>
          <w:rFonts w:hint="default" w:eastAsia="SimSun"/>
          <w:lang w:val="en-US" w:eastAsia="zh-CN"/>
        </w:rPr>
        <w:t>best performance, with a median Masked score of ~0.7; Unmasked_cf is close to 0.85–0.9, with a small gap, indicating that the model's ranking of these species is very stable.</w:t>
      </w:r>
    </w:p>
    <w:p w14:paraId="65328F65">
      <w:pPr>
        <w:rPr>
          <w:rFonts w:hint="default" w:eastAsia="SimSun"/>
          <w:lang w:val="en-US" w:eastAsia="zh-CN"/>
        </w:rPr>
      </w:pPr>
    </w:p>
    <w:p w14:paraId="30D96559">
      <w:pPr>
        <w:rPr>
          <w:rFonts w:hint="default" w:eastAsia="SimSun"/>
          <w:lang w:val="en-US" w:eastAsia="zh-CN"/>
        </w:rPr>
      </w:pPr>
      <w:r>
        <w:rPr>
          <w:rFonts w:hint="eastAsia" w:eastAsia="SimSun"/>
          <w:lang w:val="en-US" w:eastAsia="zh-CN"/>
        </w:rPr>
        <w:t xml:space="preserve">For </w:t>
      </w:r>
      <w:r>
        <w:rPr>
          <w:rFonts w:hint="default" w:eastAsia="SimSun"/>
          <w:lang w:val="en-US" w:eastAsia="zh-CN"/>
        </w:rPr>
        <w:t>E. coli / Salmonella / S. aureus</w:t>
      </w:r>
      <w:r>
        <w:rPr>
          <w:rFonts w:hint="eastAsia" w:eastAsia="SimSun"/>
          <w:lang w:val="en-US" w:eastAsia="zh-CN"/>
        </w:rPr>
        <w:t>, their m</w:t>
      </w:r>
      <w:r>
        <w:rPr>
          <w:rFonts w:hint="default" w:eastAsia="SimSun"/>
          <w:lang w:val="en-US" w:eastAsia="zh-CN"/>
        </w:rPr>
        <w:t>asked score has a median score of 0.4–0.55, and S. aureus has a larger variance, indicating slightly weaker stability under repeated sampling (mostly due to the more sparse/unbalanced distribution of positive examples for this species).</w:t>
      </w:r>
    </w:p>
    <w:p w14:paraId="31BC4C1E">
      <w:pPr>
        <w:rPr>
          <w:rFonts w:hint="default" w:eastAsia="SimSun"/>
          <w:lang w:val="en-US" w:eastAsia="zh-CN"/>
        </w:rPr>
      </w:pPr>
    </w:p>
    <w:p w14:paraId="70FF1E7E">
      <w:pPr>
        <w:rPr>
          <w:rFonts w:hint="default" w:eastAsia="SimSun"/>
          <w:lang w:val="en-US" w:eastAsia="zh-CN"/>
        </w:rPr>
      </w:pPr>
      <w:r>
        <w:rPr>
          <w:rFonts w:hint="default" w:eastAsia="SimSun"/>
          <w:lang w:val="en-US" w:eastAsia="zh-CN"/>
        </w:rPr>
        <w:t>D. radiodurans: Both groups have high scores (~0.6–0.7), and are generally stable.</w:t>
      </w:r>
      <w:r>
        <w:rPr>
          <w:rFonts w:hint="eastAsia" w:eastAsia="SimSun"/>
          <w:lang w:val="en-US" w:eastAsia="zh-CN"/>
        </w:rPr>
        <w:t>(this could be think as?）</w:t>
      </w:r>
    </w:p>
    <w:p w14:paraId="5952E1F1">
      <w:pPr>
        <w:rPr>
          <w:rFonts w:hint="default" w:eastAsia="SimSun"/>
          <w:lang w:val="en-US" w:eastAsia="zh-CN"/>
        </w:rPr>
      </w:pPr>
    </w:p>
    <w:p w14:paraId="065D30FE">
      <w:pPr>
        <w:rPr>
          <w:rFonts w:hint="default" w:eastAsia="SimSun"/>
          <w:lang w:val="en-US" w:eastAsia="zh-CN"/>
        </w:rPr>
      </w:pPr>
      <w:r>
        <w:rPr>
          <w:rFonts w:hint="eastAsia" w:eastAsia="SimSun"/>
          <w:lang w:val="en-US" w:eastAsia="zh-CN"/>
        </w:rPr>
        <w:t>Top20 high confidential prediction</w:t>
      </w:r>
    </w:p>
    <w:tbl>
      <w:tblPr>
        <w:tblW w:w="540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10"/>
        <w:gridCol w:w="2011"/>
        <w:gridCol w:w="2011"/>
        <w:gridCol w:w="1014"/>
        <w:gridCol w:w="1214"/>
      </w:tblGrid>
      <w:tr w14:paraId="172A7F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1080" w:type="dxa"/>
            <w:tcBorders>
              <w:top w:val="nil"/>
              <w:left w:val="nil"/>
              <w:bottom w:val="nil"/>
              <w:right w:val="nil"/>
            </w:tcBorders>
            <w:shd w:val="clear"/>
            <w:noWrap/>
            <w:vAlign w:val="center"/>
          </w:tcPr>
          <w:p w14:paraId="5F9A74B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1080" w:type="dxa"/>
            <w:tcBorders>
              <w:top w:val="nil"/>
              <w:left w:val="nil"/>
              <w:bottom w:val="nil"/>
              <w:right w:val="nil"/>
            </w:tcBorders>
            <w:shd w:val="clear"/>
            <w:noWrap/>
            <w:vAlign w:val="center"/>
          </w:tcPr>
          <w:p w14:paraId="76EA35B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p_obs</w:t>
            </w:r>
          </w:p>
        </w:tc>
        <w:tc>
          <w:tcPr>
            <w:tcW w:w="1080" w:type="dxa"/>
            <w:tcBorders>
              <w:top w:val="nil"/>
              <w:left w:val="nil"/>
              <w:bottom w:val="nil"/>
              <w:right w:val="nil"/>
            </w:tcBorders>
            <w:shd w:val="clear"/>
            <w:noWrap/>
            <w:vAlign w:val="center"/>
          </w:tcPr>
          <w:p w14:paraId="59B2DCA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p_true</w:t>
            </w:r>
          </w:p>
        </w:tc>
        <w:tc>
          <w:tcPr>
            <w:tcW w:w="1080" w:type="dxa"/>
            <w:tcBorders>
              <w:top w:val="nil"/>
              <w:left w:val="nil"/>
              <w:bottom w:val="nil"/>
              <w:right w:val="nil"/>
            </w:tcBorders>
            <w:shd w:val="clear"/>
            <w:noWrap/>
            <w:vAlign w:val="center"/>
          </w:tcPr>
          <w:p w14:paraId="4DCF066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Observed</w:t>
            </w:r>
          </w:p>
        </w:tc>
        <w:tc>
          <w:tcPr>
            <w:tcW w:w="1080" w:type="dxa"/>
            <w:tcBorders>
              <w:top w:val="nil"/>
              <w:left w:val="nil"/>
              <w:bottom w:val="nil"/>
              <w:right w:val="nil"/>
            </w:tcBorders>
            <w:shd w:val="clear"/>
            <w:noWrap/>
            <w:vAlign w:val="center"/>
          </w:tcPr>
          <w:p w14:paraId="15CA62E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Mutation</w:t>
            </w:r>
          </w:p>
        </w:tc>
      </w:tr>
      <w:tr w14:paraId="1EDFB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066E686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Salmonella enterica</w:t>
            </w:r>
          </w:p>
        </w:tc>
        <w:tc>
          <w:tcPr>
            <w:tcW w:w="0" w:type="auto"/>
            <w:tcBorders>
              <w:top w:val="nil"/>
              <w:left w:val="nil"/>
              <w:bottom w:val="nil"/>
              <w:right w:val="nil"/>
            </w:tcBorders>
            <w:shd w:val="clear"/>
            <w:noWrap/>
            <w:vAlign w:val="center"/>
          </w:tcPr>
          <w:p w14:paraId="2E01740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0.81384</w:t>
            </w:r>
          </w:p>
        </w:tc>
        <w:tc>
          <w:tcPr>
            <w:tcW w:w="0" w:type="auto"/>
            <w:tcBorders>
              <w:top w:val="nil"/>
              <w:left w:val="nil"/>
              <w:bottom w:val="nil"/>
              <w:right w:val="nil"/>
            </w:tcBorders>
            <w:shd w:val="clear"/>
            <w:noWrap/>
            <w:vAlign w:val="center"/>
          </w:tcPr>
          <w:p w14:paraId="290F72C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7C61CDF3">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821CCF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1C65B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0BB757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Escherichia coli</w:t>
            </w:r>
          </w:p>
        </w:tc>
        <w:tc>
          <w:tcPr>
            <w:tcW w:w="0" w:type="auto"/>
            <w:tcBorders>
              <w:top w:val="nil"/>
              <w:left w:val="nil"/>
              <w:bottom w:val="nil"/>
              <w:right w:val="nil"/>
            </w:tcBorders>
            <w:shd w:val="clear"/>
            <w:noWrap/>
            <w:vAlign w:val="center"/>
          </w:tcPr>
          <w:p w14:paraId="1BBED339">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0.81744</w:t>
            </w:r>
          </w:p>
        </w:tc>
        <w:tc>
          <w:tcPr>
            <w:tcW w:w="0" w:type="auto"/>
            <w:tcBorders>
              <w:top w:val="nil"/>
              <w:left w:val="nil"/>
              <w:bottom w:val="nil"/>
              <w:right w:val="nil"/>
            </w:tcBorders>
            <w:shd w:val="clear"/>
            <w:noWrap/>
            <w:vAlign w:val="center"/>
          </w:tcPr>
          <w:p w14:paraId="4CECCFC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0.965289211584658</w:t>
            </w:r>
          </w:p>
        </w:tc>
        <w:tc>
          <w:tcPr>
            <w:tcW w:w="0" w:type="auto"/>
            <w:tcBorders>
              <w:top w:val="nil"/>
              <w:left w:val="nil"/>
              <w:bottom w:val="nil"/>
              <w:right w:val="nil"/>
            </w:tcBorders>
            <w:shd w:val="clear"/>
            <w:noWrap/>
            <w:vAlign w:val="center"/>
          </w:tcPr>
          <w:p w14:paraId="5A672F1C">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110DA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rpoB_S574F</w:t>
            </w:r>
          </w:p>
        </w:tc>
      </w:tr>
      <w:tr w14:paraId="43E80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407807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Escherichia coli</w:t>
            </w:r>
          </w:p>
        </w:tc>
        <w:tc>
          <w:tcPr>
            <w:tcW w:w="0" w:type="auto"/>
            <w:tcBorders>
              <w:top w:val="nil"/>
              <w:left w:val="nil"/>
              <w:bottom w:val="nil"/>
              <w:right w:val="nil"/>
            </w:tcBorders>
            <w:shd w:val="clear"/>
            <w:noWrap/>
            <w:vAlign w:val="center"/>
          </w:tcPr>
          <w:p w14:paraId="0A81DD80">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0.70424</w:t>
            </w:r>
          </w:p>
        </w:tc>
        <w:tc>
          <w:tcPr>
            <w:tcW w:w="0" w:type="auto"/>
            <w:tcBorders>
              <w:top w:val="nil"/>
              <w:left w:val="nil"/>
              <w:bottom w:val="nil"/>
              <w:right w:val="nil"/>
            </w:tcBorders>
            <w:shd w:val="clear"/>
            <w:noWrap/>
            <w:vAlign w:val="center"/>
          </w:tcPr>
          <w:p w14:paraId="51269F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0.9363897457717264</w:t>
            </w:r>
          </w:p>
        </w:tc>
        <w:tc>
          <w:tcPr>
            <w:tcW w:w="0" w:type="auto"/>
            <w:tcBorders>
              <w:top w:val="nil"/>
              <w:left w:val="nil"/>
              <w:bottom w:val="nil"/>
              <w:right w:val="nil"/>
            </w:tcBorders>
            <w:shd w:val="clear"/>
            <w:noWrap/>
            <w:vAlign w:val="center"/>
          </w:tcPr>
          <w:p w14:paraId="3873D54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BAEEA1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726BF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28BEE7B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putida</w:t>
            </w:r>
          </w:p>
        </w:tc>
        <w:tc>
          <w:tcPr>
            <w:tcW w:w="0" w:type="auto"/>
            <w:tcBorders>
              <w:top w:val="nil"/>
              <w:left w:val="nil"/>
              <w:bottom w:val="nil"/>
              <w:right w:val="nil"/>
            </w:tcBorders>
            <w:shd w:val="clear"/>
            <w:noWrap/>
            <w:vAlign w:val="center"/>
          </w:tcPr>
          <w:p w14:paraId="3FF13D0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0.6900000000000001</w:t>
            </w:r>
          </w:p>
        </w:tc>
        <w:tc>
          <w:tcPr>
            <w:tcW w:w="0" w:type="auto"/>
            <w:tcBorders>
              <w:top w:val="nil"/>
              <w:left w:val="nil"/>
              <w:bottom w:val="nil"/>
              <w:right w:val="nil"/>
            </w:tcBorders>
            <w:shd w:val="clear"/>
            <w:noWrap/>
            <w:vAlign w:val="center"/>
          </w:tcPr>
          <w:p w14:paraId="33BC71F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0.9174555898308692</w:t>
            </w:r>
          </w:p>
        </w:tc>
        <w:tc>
          <w:tcPr>
            <w:tcW w:w="0" w:type="auto"/>
            <w:tcBorders>
              <w:top w:val="nil"/>
              <w:left w:val="nil"/>
              <w:bottom w:val="nil"/>
              <w:right w:val="nil"/>
            </w:tcBorders>
            <w:shd w:val="clear"/>
            <w:noWrap/>
            <w:vAlign w:val="center"/>
          </w:tcPr>
          <w:p w14:paraId="5186631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F4CB14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4BB4EE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2A074B4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79E223EA">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0.67304</w:t>
            </w:r>
          </w:p>
        </w:tc>
        <w:tc>
          <w:tcPr>
            <w:tcW w:w="0" w:type="auto"/>
            <w:tcBorders>
              <w:top w:val="nil"/>
              <w:left w:val="nil"/>
              <w:bottom w:val="nil"/>
              <w:right w:val="nil"/>
            </w:tcBorders>
            <w:shd w:val="clear"/>
            <w:noWrap/>
            <w:vAlign w:val="center"/>
          </w:tcPr>
          <w:p w14:paraId="386DA2A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0.8949047973619828</w:t>
            </w:r>
          </w:p>
        </w:tc>
        <w:tc>
          <w:tcPr>
            <w:tcW w:w="0" w:type="auto"/>
            <w:tcBorders>
              <w:top w:val="nil"/>
              <w:left w:val="nil"/>
              <w:bottom w:val="nil"/>
              <w:right w:val="nil"/>
            </w:tcBorders>
            <w:shd w:val="clear"/>
            <w:noWrap/>
            <w:vAlign w:val="center"/>
          </w:tcPr>
          <w:p w14:paraId="443AC360">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43AC0C5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056E0E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599CB4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Escherichia coli</w:t>
            </w:r>
          </w:p>
        </w:tc>
        <w:tc>
          <w:tcPr>
            <w:tcW w:w="0" w:type="auto"/>
            <w:tcBorders>
              <w:top w:val="nil"/>
              <w:left w:val="nil"/>
              <w:bottom w:val="nil"/>
              <w:right w:val="nil"/>
            </w:tcBorders>
            <w:shd w:val="clear"/>
            <w:noWrap/>
            <w:vAlign w:val="center"/>
          </w:tcPr>
          <w:p w14:paraId="4C143A49">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0.71704</w:t>
            </w:r>
          </w:p>
        </w:tc>
        <w:tc>
          <w:tcPr>
            <w:tcW w:w="0" w:type="auto"/>
            <w:tcBorders>
              <w:top w:val="nil"/>
              <w:left w:val="nil"/>
              <w:bottom w:val="nil"/>
              <w:right w:val="nil"/>
            </w:tcBorders>
            <w:shd w:val="clear"/>
            <w:noWrap/>
            <w:vAlign w:val="center"/>
          </w:tcPr>
          <w:p w14:paraId="64DB4BD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0.885905376910912</w:t>
            </w:r>
          </w:p>
        </w:tc>
        <w:tc>
          <w:tcPr>
            <w:tcW w:w="0" w:type="auto"/>
            <w:tcBorders>
              <w:top w:val="nil"/>
              <w:left w:val="nil"/>
              <w:bottom w:val="nil"/>
              <w:right w:val="nil"/>
            </w:tcBorders>
            <w:shd w:val="clear"/>
            <w:noWrap/>
            <w:vAlign w:val="center"/>
          </w:tcPr>
          <w:p w14:paraId="397FBA69">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E06D3E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17B2B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34A1F8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putida</w:t>
            </w:r>
          </w:p>
        </w:tc>
        <w:tc>
          <w:tcPr>
            <w:tcW w:w="0" w:type="auto"/>
            <w:tcBorders>
              <w:top w:val="nil"/>
              <w:left w:val="nil"/>
              <w:bottom w:val="nil"/>
              <w:right w:val="nil"/>
            </w:tcBorders>
            <w:shd w:val="clear"/>
            <w:noWrap/>
            <w:vAlign w:val="center"/>
          </w:tcPr>
          <w:p w14:paraId="7D05664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0.70056</w:t>
            </w:r>
          </w:p>
        </w:tc>
        <w:tc>
          <w:tcPr>
            <w:tcW w:w="0" w:type="auto"/>
            <w:tcBorders>
              <w:top w:val="nil"/>
              <w:left w:val="nil"/>
              <w:bottom w:val="nil"/>
              <w:right w:val="nil"/>
            </w:tcBorders>
            <w:shd w:val="clear"/>
            <w:noWrap/>
            <w:vAlign w:val="center"/>
          </w:tcPr>
          <w:p w14:paraId="1EDB5F9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0.8655442804428043</w:t>
            </w:r>
          </w:p>
        </w:tc>
        <w:tc>
          <w:tcPr>
            <w:tcW w:w="0" w:type="auto"/>
            <w:tcBorders>
              <w:top w:val="nil"/>
              <w:left w:val="nil"/>
              <w:bottom w:val="nil"/>
              <w:right w:val="nil"/>
            </w:tcBorders>
            <w:shd w:val="clear"/>
            <w:noWrap/>
            <w:vAlign w:val="center"/>
          </w:tcPr>
          <w:p w14:paraId="59FDB66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9A52DB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F4C8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EA403A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Stutzerimonas stutzeri</w:t>
            </w:r>
          </w:p>
        </w:tc>
        <w:tc>
          <w:tcPr>
            <w:tcW w:w="0" w:type="auto"/>
            <w:tcBorders>
              <w:top w:val="nil"/>
              <w:left w:val="nil"/>
              <w:bottom w:val="nil"/>
              <w:right w:val="nil"/>
            </w:tcBorders>
            <w:shd w:val="clear"/>
            <w:noWrap/>
            <w:vAlign w:val="center"/>
          </w:tcPr>
          <w:p w14:paraId="2CB900F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0.75088</w:t>
            </w:r>
          </w:p>
        </w:tc>
        <w:tc>
          <w:tcPr>
            <w:tcW w:w="0" w:type="auto"/>
            <w:tcBorders>
              <w:top w:val="nil"/>
              <w:left w:val="nil"/>
              <w:bottom w:val="nil"/>
              <w:right w:val="nil"/>
            </w:tcBorders>
            <w:shd w:val="clear"/>
            <w:noWrap/>
            <w:vAlign w:val="center"/>
          </w:tcPr>
          <w:p w14:paraId="5DB0A1E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0.8612413849353614</w:t>
            </w:r>
          </w:p>
        </w:tc>
        <w:tc>
          <w:tcPr>
            <w:tcW w:w="0" w:type="auto"/>
            <w:tcBorders>
              <w:top w:val="nil"/>
              <w:left w:val="nil"/>
              <w:bottom w:val="nil"/>
              <w:right w:val="nil"/>
            </w:tcBorders>
            <w:shd w:val="clear"/>
            <w:noWrap/>
            <w:vAlign w:val="center"/>
          </w:tcPr>
          <w:p w14:paraId="1A36772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08A1C3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0CA56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5F3A5B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Stutzerimonas stutzeri</w:t>
            </w:r>
          </w:p>
        </w:tc>
        <w:tc>
          <w:tcPr>
            <w:tcW w:w="0" w:type="auto"/>
            <w:tcBorders>
              <w:top w:val="nil"/>
              <w:left w:val="nil"/>
              <w:bottom w:val="nil"/>
              <w:right w:val="nil"/>
            </w:tcBorders>
            <w:shd w:val="clear"/>
            <w:noWrap/>
            <w:vAlign w:val="center"/>
          </w:tcPr>
          <w:p w14:paraId="0242F756">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0.63464</w:t>
            </w:r>
          </w:p>
        </w:tc>
        <w:tc>
          <w:tcPr>
            <w:tcW w:w="0" w:type="auto"/>
            <w:tcBorders>
              <w:top w:val="nil"/>
              <w:left w:val="nil"/>
              <w:bottom w:val="nil"/>
              <w:right w:val="nil"/>
            </w:tcBorders>
            <w:shd w:val="clear"/>
            <w:noWrap/>
            <w:vAlign w:val="center"/>
          </w:tcPr>
          <w:p w14:paraId="1198DF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0.8438463993192213</w:t>
            </w:r>
          </w:p>
        </w:tc>
        <w:tc>
          <w:tcPr>
            <w:tcW w:w="0" w:type="auto"/>
            <w:tcBorders>
              <w:top w:val="nil"/>
              <w:left w:val="nil"/>
              <w:bottom w:val="nil"/>
              <w:right w:val="nil"/>
            </w:tcBorders>
            <w:shd w:val="clear"/>
            <w:noWrap/>
            <w:vAlign w:val="center"/>
          </w:tcPr>
          <w:p w14:paraId="08C02B3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FDDA47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1BF9C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DB1508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717B736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0.74624</w:t>
            </w:r>
          </w:p>
        </w:tc>
        <w:tc>
          <w:tcPr>
            <w:tcW w:w="0" w:type="auto"/>
            <w:tcBorders>
              <w:top w:val="nil"/>
              <w:left w:val="nil"/>
              <w:bottom w:val="nil"/>
              <w:right w:val="nil"/>
            </w:tcBorders>
            <w:shd w:val="clear"/>
            <w:noWrap/>
            <w:vAlign w:val="center"/>
          </w:tcPr>
          <w:p w14:paraId="6574102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0.8431624618351278</w:t>
            </w:r>
          </w:p>
        </w:tc>
        <w:tc>
          <w:tcPr>
            <w:tcW w:w="0" w:type="auto"/>
            <w:tcBorders>
              <w:top w:val="nil"/>
              <w:left w:val="nil"/>
              <w:bottom w:val="nil"/>
              <w:right w:val="nil"/>
            </w:tcBorders>
            <w:shd w:val="clear"/>
            <w:noWrap/>
            <w:vAlign w:val="center"/>
          </w:tcPr>
          <w:p w14:paraId="0EDEDEA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0A17DD1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r>
      <w:tr w14:paraId="31DC5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A7511D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Escherichia coli</w:t>
            </w:r>
          </w:p>
        </w:tc>
        <w:tc>
          <w:tcPr>
            <w:tcW w:w="0" w:type="auto"/>
            <w:tcBorders>
              <w:top w:val="nil"/>
              <w:left w:val="nil"/>
              <w:bottom w:val="nil"/>
              <w:right w:val="nil"/>
            </w:tcBorders>
            <w:shd w:val="clear"/>
            <w:noWrap/>
            <w:vAlign w:val="center"/>
          </w:tcPr>
          <w:p w14:paraId="1A12ACE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0.71648</w:t>
            </w:r>
          </w:p>
        </w:tc>
        <w:tc>
          <w:tcPr>
            <w:tcW w:w="0" w:type="auto"/>
            <w:tcBorders>
              <w:top w:val="nil"/>
              <w:left w:val="nil"/>
              <w:bottom w:val="nil"/>
              <w:right w:val="nil"/>
            </w:tcBorders>
            <w:shd w:val="clear"/>
            <w:noWrap/>
            <w:vAlign w:val="center"/>
          </w:tcPr>
          <w:p w14:paraId="6709ED4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0.8401500938086304</w:t>
            </w:r>
          </w:p>
        </w:tc>
        <w:tc>
          <w:tcPr>
            <w:tcW w:w="0" w:type="auto"/>
            <w:tcBorders>
              <w:top w:val="nil"/>
              <w:left w:val="nil"/>
              <w:bottom w:val="nil"/>
              <w:right w:val="nil"/>
            </w:tcBorders>
            <w:shd w:val="clear"/>
            <w:noWrap/>
            <w:vAlign w:val="center"/>
          </w:tcPr>
          <w:p w14:paraId="7B2B7F3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30EFCEA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rpoB_I572S</w:t>
            </w:r>
          </w:p>
        </w:tc>
      </w:tr>
      <w:tr w14:paraId="4AFCB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4C727B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Stutzerimonas stutzeri</w:t>
            </w:r>
          </w:p>
        </w:tc>
        <w:tc>
          <w:tcPr>
            <w:tcW w:w="0" w:type="auto"/>
            <w:tcBorders>
              <w:top w:val="nil"/>
              <w:left w:val="nil"/>
              <w:bottom w:val="nil"/>
              <w:right w:val="nil"/>
            </w:tcBorders>
            <w:shd w:val="clear"/>
            <w:noWrap/>
            <w:vAlign w:val="center"/>
          </w:tcPr>
          <w:p w14:paraId="78D7050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0.70848</w:t>
            </w:r>
          </w:p>
        </w:tc>
        <w:tc>
          <w:tcPr>
            <w:tcW w:w="0" w:type="auto"/>
            <w:tcBorders>
              <w:top w:val="nil"/>
              <w:left w:val="nil"/>
              <w:bottom w:val="nil"/>
              <w:right w:val="nil"/>
            </w:tcBorders>
            <w:shd w:val="clear"/>
            <w:noWrap/>
            <w:vAlign w:val="center"/>
          </w:tcPr>
          <w:p w14:paraId="2F11E18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0.8366217711679127</w:t>
            </w:r>
          </w:p>
        </w:tc>
        <w:tc>
          <w:tcPr>
            <w:tcW w:w="0" w:type="auto"/>
            <w:tcBorders>
              <w:top w:val="nil"/>
              <w:left w:val="nil"/>
              <w:bottom w:val="nil"/>
              <w:right w:val="nil"/>
            </w:tcBorders>
            <w:shd w:val="clear"/>
            <w:noWrap/>
            <w:vAlign w:val="center"/>
          </w:tcPr>
          <w:p w14:paraId="20962F88">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5A4CE88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rpoB_S574F</w:t>
            </w:r>
          </w:p>
        </w:tc>
      </w:tr>
      <w:tr w14:paraId="0AD13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2E93C21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mendocina</w:t>
            </w:r>
          </w:p>
        </w:tc>
        <w:tc>
          <w:tcPr>
            <w:tcW w:w="0" w:type="auto"/>
            <w:tcBorders>
              <w:top w:val="nil"/>
              <w:left w:val="nil"/>
              <w:bottom w:val="nil"/>
              <w:right w:val="nil"/>
            </w:tcBorders>
            <w:shd w:val="clear"/>
            <w:noWrap/>
            <w:vAlign w:val="center"/>
          </w:tcPr>
          <w:p w14:paraId="671FF90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0.72576</w:t>
            </w:r>
          </w:p>
        </w:tc>
        <w:tc>
          <w:tcPr>
            <w:tcW w:w="0" w:type="auto"/>
            <w:tcBorders>
              <w:top w:val="nil"/>
              <w:left w:val="nil"/>
              <w:bottom w:val="nil"/>
              <w:right w:val="nil"/>
            </w:tcBorders>
            <w:shd w:val="clear"/>
            <w:noWrap/>
            <w:vAlign w:val="center"/>
          </w:tcPr>
          <w:p w14:paraId="71306D9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0.8200224971878515</w:t>
            </w:r>
          </w:p>
        </w:tc>
        <w:tc>
          <w:tcPr>
            <w:tcW w:w="0" w:type="auto"/>
            <w:tcBorders>
              <w:top w:val="nil"/>
              <w:left w:val="nil"/>
              <w:bottom w:val="nil"/>
              <w:right w:val="nil"/>
            </w:tcBorders>
            <w:shd w:val="clear"/>
            <w:noWrap/>
            <w:vAlign w:val="center"/>
          </w:tcPr>
          <w:p w14:paraId="0C2001EE">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0BA2EBC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r>
      <w:tr w14:paraId="16A84E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33EE49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5871C0E8">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0.71064</w:t>
            </w:r>
          </w:p>
        </w:tc>
        <w:tc>
          <w:tcPr>
            <w:tcW w:w="0" w:type="auto"/>
            <w:tcBorders>
              <w:top w:val="nil"/>
              <w:left w:val="nil"/>
              <w:bottom w:val="nil"/>
              <w:right w:val="nil"/>
            </w:tcBorders>
            <w:shd w:val="clear"/>
            <w:noWrap/>
            <w:vAlign w:val="center"/>
          </w:tcPr>
          <w:p w14:paraId="5BDF418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0.8150870682272338</w:t>
            </w:r>
          </w:p>
        </w:tc>
        <w:tc>
          <w:tcPr>
            <w:tcW w:w="0" w:type="auto"/>
            <w:tcBorders>
              <w:top w:val="nil"/>
              <w:left w:val="nil"/>
              <w:bottom w:val="nil"/>
              <w:right w:val="nil"/>
            </w:tcBorders>
            <w:shd w:val="clear"/>
            <w:noWrap/>
            <w:vAlign w:val="center"/>
          </w:tcPr>
          <w:p w14:paraId="6ACD30E8">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A55646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5E4789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2758C46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fulva</w:t>
            </w:r>
          </w:p>
        </w:tc>
        <w:tc>
          <w:tcPr>
            <w:tcW w:w="0" w:type="auto"/>
            <w:tcBorders>
              <w:top w:val="nil"/>
              <w:left w:val="nil"/>
              <w:bottom w:val="nil"/>
              <w:right w:val="nil"/>
            </w:tcBorders>
            <w:shd w:val="clear"/>
            <w:noWrap/>
            <w:vAlign w:val="center"/>
          </w:tcPr>
          <w:p w14:paraId="42DF9559">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0.60496</w:t>
            </w:r>
          </w:p>
        </w:tc>
        <w:tc>
          <w:tcPr>
            <w:tcW w:w="0" w:type="auto"/>
            <w:tcBorders>
              <w:top w:val="nil"/>
              <w:left w:val="nil"/>
              <w:bottom w:val="nil"/>
              <w:right w:val="nil"/>
            </w:tcBorders>
            <w:shd w:val="clear"/>
            <w:noWrap/>
            <w:vAlign w:val="center"/>
          </w:tcPr>
          <w:p w14:paraId="2B8ED3E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0.8043825124986704</w:t>
            </w:r>
          </w:p>
        </w:tc>
        <w:tc>
          <w:tcPr>
            <w:tcW w:w="0" w:type="auto"/>
            <w:tcBorders>
              <w:top w:val="nil"/>
              <w:left w:val="nil"/>
              <w:bottom w:val="nil"/>
              <w:right w:val="nil"/>
            </w:tcBorders>
            <w:shd w:val="clear"/>
            <w:noWrap/>
            <w:vAlign w:val="center"/>
          </w:tcPr>
          <w:p w14:paraId="57AC20A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FD7DB8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r w14:paraId="5D2922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C10762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fulva</w:t>
            </w:r>
          </w:p>
        </w:tc>
        <w:tc>
          <w:tcPr>
            <w:tcW w:w="0" w:type="auto"/>
            <w:tcBorders>
              <w:top w:val="nil"/>
              <w:left w:val="nil"/>
              <w:bottom w:val="nil"/>
              <w:right w:val="nil"/>
            </w:tcBorders>
            <w:shd w:val="clear"/>
            <w:noWrap/>
            <w:vAlign w:val="center"/>
          </w:tcPr>
          <w:p w14:paraId="2ADE25A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0.63808</w:t>
            </w:r>
          </w:p>
        </w:tc>
        <w:tc>
          <w:tcPr>
            <w:tcW w:w="0" w:type="auto"/>
            <w:tcBorders>
              <w:top w:val="nil"/>
              <w:left w:val="nil"/>
              <w:bottom w:val="nil"/>
              <w:right w:val="nil"/>
            </w:tcBorders>
            <w:shd w:val="clear"/>
            <w:noWrap/>
            <w:vAlign w:val="center"/>
          </w:tcPr>
          <w:p w14:paraId="5319CF2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0.7883500263574064</w:t>
            </w:r>
          </w:p>
        </w:tc>
        <w:tc>
          <w:tcPr>
            <w:tcW w:w="0" w:type="auto"/>
            <w:tcBorders>
              <w:top w:val="nil"/>
              <w:left w:val="nil"/>
              <w:bottom w:val="nil"/>
              <w:right w:val="nil"/>
            </w:tcBorders>
            <w:shd w:val="clear"/>
            <w:noWrap/>
            <w:vAlign w:val="center"/>
          </w:tcPr>
          <w:p w14:paraId="2896BE4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18DC842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FF0A9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ED1D2C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aeruginosa</w:t>
            </w:r>
          </w:p>
        </w:tc>
        <w:tc>
          <w:tcPr>
            <w:tcW w:w="0" w:type="auto"/>
            <w:tcBorders>
              <w:top w:val="nil"/>
              <w:left w:val="nil"/>
              <w:bottom w:val="nil"/>
              <w:right w:val="nil"/>
            </w:tcBorders>
            <w:shd w:val="clear"/>
            <w:noWrap/>
            <w:vAlign w:val="center"/>
          </w:tcPr>
          <w:p w14:paraId="4C693BA6">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0.65568</w:t>
            </w:r>
          </w:p>
        </w:tc>
        <w:tc>
          <w:tcPr>
            <w:tcW w:w="0" w:type="auto"/>
            <w:tcBorders>
              <w:top w:val="nil"/>
              <w:left w:val="nil"/>
              <w:bottom w:val="nil"/>
              <w:right w:val="nil"/>
            </w:tcBorders>
            <w:shd w:val="clear"/>
            <w:noWrap/>
            <w:vAlign w:val="center"/>
          </w:tcPr>
          <w:p w14:paraId="29F2ED4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0.788304318553429</w:t>
            </w:r>
          </w:p>
        </w:tc>
        <w:tc>
          <w:tcPr>
            <w:tcW w:w="0" w:type="auto"/>
            <w:tcBorders>
              <w:top w:val="nil"/>
              <w:left w:val="nil"/>
              <w:bottom w:val="nil"/>
              <w:right w:val="nil"/>
            </w:tcBorders>
            <w:shd w:val="clear"/>
            <w:noWrap/>
            <w:vAlign w:val="center"/>
          </w:tcPr>
          <w:p w14:paraId="03D838CE">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19A243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rpoB_G534D</w:t>
            </w:r>
          </w:p>
        </w:tc>
      </w:tr>
      <w:tr w14:paraId="307E4E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013D7B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putida</w:t>
            </w:r>
          </w:p>
        </w:tc>
        <w:tc>
          <w:tcPr>
            <w:tcW w:w="0" w:type="auto"/>
            <w:tcBorders>
              <w:top w:val="nil"/>
              <w:left w:val="nil"/>
              <w:bottom w:val="nil"/>
              <w:right w:val="nil"/>
            </w:tcBorders>
            <w:shd w:val="clear"/>
            <w:noWrap/>
            <w:vAlign w:val="center"/>
          </w:tcPr>
          <w:p w14:paraId="6D5F7BFE">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0.6644</w:t>
            </w:r>
          </w:p>
        </w:tc>
        <w:tc>
          <w:tcPr>
            <w:tcW w:w="0" w:type="auto"/>
            <w:tcBorders>
              <w:top w:val="nil"/>
              <w:left w:val="nil"/>
              <w:bottom w:val="nil"/>
              <w:right w:val="nil"/>
            </w:tcBorders>
            <w:shd w:val="clear"/>
            <w:noWrap/>
            <w:vAlign w:val="center"/>
          </w:tcPr>
          <w:p w14:paraId="620F683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0.7790806754221388</w:t>
            </w:r>
          </w:p>
        </w:tc>
        <w:tc>
          <w:tcPr>
            <w:tcW w:w="0" w:type="auto"/>
            <w:tcBorders>
              <w:top w:val="nil"/>
              <w:left w:val="nil"/>
              <w:bottom w:val="nil"/>
              <w:right w:val="nil"/>
            </w:tcBorders>
            <w:shd w:val="clear"/>
            <w:noWrap/>
            <w:vAlign w:val="center"/>
          </w:tcPr>
          <w:p w14:paraId="329D4AB8">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68644B1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rpoB_I572S</w:t>
            </w:r>
          </w:p>
        </w:tc>
      </w:tr>
      <w:tr w14:paraId="5EB953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771152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Pseudomonas aeruginosa</w:t>
            </w:r>
          </w:p>
        </w:tc>
        <w:tc>
          <w:tcPr>
            <w:tcW w:w="0" w:type="auto"/>
            <w:tcBorders>
              <w:top w:val="nil"/>
              <w:left w:val="nil"/>
              <w:bottom w:val="nil"/>
              <w:right w:val="nil"/>
            </w:tcBorders>
            <w:shd w:val="clear"/>
            <w:noWrap/>
            <w:vAlign w:val="center"/>
          </w:tcPr>
          <w:p w14:paraId="699D1AA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0.61344</w:t>
            </w:r>
          </w:p>
        </w:tc>
        <w:tc>
          <w:tcPr>
            <w:tcW w:w="0" w:type="auto"/>
            <w:tcBorders>
              <w:top w:val="nil"/>
              <w:left w:val="nil"/>
              <w:bottom w:val="nil"/>
              <w:right w:val="nil"/>
            </w:tcBorders>
            <w:shd w:val="clear"/>
            <w:noWrap/>
            <w:vAlign w:val="center"/>
          </w:tcPr>
          <w:p w14:paraId="11111CD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0.7579072219293621</w:t>
            </w:r>
          </w:p>
        </w:tc>
        <w:tc>
          <w:tcPr>
            <w:tcW w:w="0" w:type="auto"/>
            <w:tcBorders>
              <w:top w:val="nil"/>
              <w:left w:val="nil"/>
              <w:bottom w:val="nil"/>
              <w:right w:val="nil"/>
            </w:tcBorders>
            <w:shd w:val="clear"/>
            <w:noWrap/>
            <w:vAlign w:val="center"/>
          </w:tcPr>
          <w:p w14:paraId="48BE5393">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4818AF3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580B9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4A1D1E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Staphylococcus aureus</w:t>
            </w:r>
          </w:p>
        </w:tc>
        <w:tc>
          <w:tcPr>
            <w:tcW w:w="0" w:type="auto"/>
            <w:tcBorders>
              <w:top w:val="nil"/>
              <w:left w:val="nil"/>
              <w:bottom w:val="nil"/>
              <w:right w:val="nil"/>
            </w:tcBorders>
            <w:shd w:val="clear"/>
            <w:noWrap/>
            <w:vAlign w:val="center"/>
          </w:tcPr>
          <w:p w14:paraId="17789DC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0.56896</w:t>
            </w:r>
          </w:p>
        </w:tc>
        <w:tc>
          <w:tcPr>
            <w:tcW w:w="0" w:type="auto"/>
            <w:tcBorders>
              <w:top w:val="nil"/>
              <w:left w:val="nil"/>
              <w:bottom w:val="nil"/>
              <w:right w:val="nil"/>
            </w:tcBorders>
            <w:shd w:val="clear"/>
            <w:noWrap/>
            <w:vAlign w:val="center"/>
          </w:tcPr>
          <w:p w14:paraId="4678C8C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0.7565152643335816</w:t>
            </w:r>
          </w:p>
        </w:tc>
        <w:tc>
          <w:tcPr>
            <w:tcW w:w="0" w:type="auto"/>
            <w:tcBorders>
              <w:top w:val="nil"/>
              <w:left w:val="nil"/>
              <w:bottom w:val="nil"/>
              <w:right w:val="nil"/>
            </w:tcBorders>
            <w:shd w:val="clear"/>
            <w:noWrap/>
            <w:vAlign w:val="center"/>
          </w:tcPr>
          <w:p w14:paraId="0100AD48">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14:paraId="73E1547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r>
    </w:tbl>
    <w:p w14:paraId="186E1DC7">
      <w:pPr>
        <w:rPr>
          <w:rFonts w:hint="eastAsia" w:eastAsia="SimSun"/>
          <w:lang w:val="en-US" w:eastAsia="zh-CN"/>
        </w:rPr>
      </w:pPr>
      <w:r>
        <w:rPr>
          <w:rFonts w:hint="default" w:eastAsia="SimSun"/>
          <w:lang w:val="en-US" w:eastAsia="zh-CN"/>
        </w:rPr>
        <w:t xml:space="preserve">  </w:t>
      </w:r>
      <w:r>
        <w:rPr>
          <w:rFonts w:hint="eastAsia" w:eastAsia="SimSun"/>
          <w:lang w:val="en-US" w:eastAsia="zh-CN"/>
        </w:rPr>
        <w:t>Rpob-Q148R   7</w:t>
      </w:r>
    </w:p>
    <w:tbl>
      <w:tblPr>
        <w:tblW w:w="8813" w:type="dxa"/>
        <w:tblCellSpacing w:w="15" w:type="dxa"/>
        <w:tblInd w:w="0" w:type="dxa"/>
        <w:tblBorders>
          <w:top w:val="single" w:color="333333" w:sz="4" w:space="0"/>
          <w:left w:val="none" w:color="auto" w:sz="0" w:space="0"/>
          <w:bottom w:val="single" w:color="333333" w:sz="4" w:space="0"/>
          <w:right w:val="none" w:color="auto" w:sz="0" w:space="0"/>
          <w:insideH w:val="none" w:color="auto" w:sz="0" w:space="0"/>
          <w:insideV w:val="none" w:color="auto" w:sz="0" w:space="0"/>
        </w:tblBorders>
        <w:shd w:val="clear" w:color="auto" w:fill="F5FFF0"/>
        <w:tblLayout w:type="autofit"/>
        <w:tblCellMar>
          <w:top w:w="15" w:type="dxa"/>
          <w:left w:w="15" w:type="dxa"/>
          <w:bottom w:w="15" w:type="dxa"/>
          <w:right w:w="15" w:type="dxa"/>
        </w:tblCellMar>
      </w:tblPr>
      <w:tblGrid>
        <w:gridCol w:w="1733"/>
        <w:gridCol w:w="1794"/>
        <w:gridCol w:w="2776"/>
        <w:gridCol w:w="2510"/>
      </w:tblGrid>
      <w:tr w14:paraId="10C72804">
        <w:tblPrEx>
          <w:tblBorders>
            <w:top w:val="single" w:color="333333" w:sz="4" w:space="0"/>
            <w:left w:val="none" w:color="auto" w:sz="0" w:space="0"/>
            <w:bottom w:val="single" w:color="333333" w:sz="4" w:space="0"/>
            <w:right w:val="none" w:color="auto" w:sz="0" w:space="0"/>
            <w:insideH w:val="none" w:color="auto" w:sz="0" w:space="0"/>
            <w:insideV w:val="none" w:color="auto" w:sz="0" w:space="0"/>
          </w:tblBorders>
          <w:shd w:val="clear" w:color="auto" w:fill="F5FFF0"/>
          <w:tblCellMar>
            <w:top w:w="15" w:type="dxa"/>
            <w:left w:w="15" w:type="dxa"/>
            <w:bottom w:w="15" w:type="dxa"/>
            <w:right w:w="15" w:type="dxa"/>
          </w:tblCellMar>
        </w:tblPrEx>
        <w:trPr>
          <w:tblCellSpacing w:w="15" w:type="dxa"/>
        </w:trPr>
        <w:tc>
          <w:tcPr>
            <w:tcW w:w="0" w:type="auto"/>
            <w:shd w:val="clear" w:color="auto" w:fill="F5FFF0"/>
            <w:tcMar>
              <w:top w:w="56" w:type="dxa"/>
              <w:left w:w="56" w:type="dxa"/>
              <w:bottom w:w="56" w:type="dxa"/>
              <w:right w:w="56" w:type="dxa"/>
            </w:tcMar>
            <w:vAlign w:val="top"/>
          </w:tcPr>
          <w:p w14:paraId="221EF566">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CC261</w:t>
            </w:r>
          </w:p>
        </w:tc>
        <w:tc>
          <w:tcPr>
            <w:tcW w:w="0" w:type="auto"/>
            <w:shd w:val="clear" w:color="auto" w:fill="F5FFF0"/>
            <w:tcMar>
              <w:top w:w="56" w:type="dxa"/>
              <w:left w:w="56" w:type="dxa"/>
              <w:bottom w:w="56" w:type="dxa"/>
              <w:right w:w="56" w:type="dxa"/>
            </w:tcMar>
            <w:vAlign w:val="top"/>
          </w:tcPr>
          <w:p w14:paraId="6BEF48D4">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Q148R</w:t>
            </w:r>
          </w:p>
        </w:tc>
        <w:tc>
          <w:tcPr>
            <w:tcW w:w="0" w:type="auto"/>
            <w:shd w:val="clear" w:color="auto" w:fill="F5FFF0"/>
            <w:tcMar>
              <w:top w:w="56" w:type="dxa"/>
              <w:left w:w="56" w:type="dxa"/>
              <w:bottom w:w="56" w:type="dxa"/>
              <w:right w:w="56" w:type="dxa"/>
            </w:tcMar>
            <w:vAlign w:val="top"/>
          </w:tcPr>
          <w:p w14:paraId="10E60C27">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CAG → CGA</w:t>
            </w:r>
          </w:p>
        </w:tc>
        <w:tc>
          <w:tcPr>
            <w:tcW w:w="0" w:type="auto"/>
            <w:shd w:val="clear" w:color="auto" w:fill="F5FFF0"/>
            <w:tcMar>
              <w:top w:w="56" w:type="dxa"/>
              <w:left w:w="56" w:type="dxa"/>
              <w:bottom w:w="56" w:type="dxa"/>
              <w:right w:w="56" w:type="dxa"/>
            </w:tcMar>
            <w:vAlign w:val="top"/>
          </w:tcPr>
          <w:p w14:paraId="60CF972C">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This work</w:t>
            </w:r>
          </w:p>
        </w:tc>
      </w:tr>
    </w:tbl>
    <w:p w14:paraId="03BCA280">
      <w:pPr>
        <w:rPr>
          <w:rFonts w:hint="eastAsia" w:eastAsia="SimSun"/>
          <w:lang w:val="en-US" w:eastAsia="zh-CN"/>
        </w:rPr>
      </w:pPr>
    </w:p>
    <w:p w14:paraId="61692CA7">
      <w:pPr>
        <w:rPr>
          <w:rFonts w:hint="eastAsia" w:eastAsia="SimSun"/>
          <w:lang w:val="en-US" w:eastAsia="zh-CN"/>
        </w:rPr>
      </w:pPr>
      <w:r>
        <w:rPr>
          <w:rFonts w:hint="eastAsia" w:eastAsia="SimSun"/>
          <w:lang w:val="en-US" w:eastAsia="zh-CN"/>
        </w:rPr>
        <w:t>Q148R, a mutation associated with rifampicin resistance, also affects transcription slippage.</w:t>
      </w:r>
    </w:p>
    <w:p w14:paraId="6A18F052">
      <w:pPr>
        <w:rPr>
          <w:rFonts w:hint="eastAsia" w:eastAsia="SimSun"/>
          <w:lang w:val="en-US" w:eastAsia="zh-CN"/>
        </w:rPr>
      </w:pPr>
      <w:r>
        <w:rPr>
          <w:rFonts w:hint="eastAsia" w:eastAsia="SimSun"/>
          <w:lang w:val="en-US" w:eastAsia="zh-CN"/>
        </w:rPr>
        <w:t>Transcriptional slippage occurs at mononucleotide repeats, causing RNA polymerase to synthesize a population of mRNAs with varying lengths. These mRNAs exhibit variations in nucleotide number, leading to the translation of multiple distinct protein products. If these proteins lack distinct functions, slippage is generally disadvantageous, leading to selection pressure to eliminate most slippage-prone sequences within coding regions.</w:t>
      </w:r>
    </w:p>
    <w:p w14:paraId="0C5D6A11">
      <w:pPr>
        <w:rPr>
          <w:rFonts w:hint="eastAsia" w:eastAsia="SimSun"/>
          <w:lang w:val="en-US" w:eastAsia="zh-CN"/>
        </w:rPr>
      </w:pPr>
      <w:r>
        <w:rPr>
          <w:rFonts w:hint="eastAsia" w:eastAsia="SimSun"/>
          <w:lang w:val="en-US" w:eastAsia="zh-CN"/>
        </w:rPr>
        <w:t>Analysis of slippage efficiency data for similar mutations, such as P564L and Q513P, highlights Q148R, along with other mutations in the same region, as "highly concentrated around the RNA–DNA hybrid region, critical amino acids for controlling RNAP slippage." These mutations may increase slippage by weakening the DNA clamp of RNAP, making the RNA–DNA hybrid more easily unwound.</w:t>
      </w:r>
    </w:p>
    <w:p w14:paraId="519F54AF">
      <w:pPr>
        <w:rPr>
          <w:rFonts w:hint="eastAsia" w:eastAsia="SimSun"/>
          <w:lang w:val="en-US" w:eastAsia="zh-CN"/>
        </w:rPr>
      </w:pPr>
      <w:r>
        <w:rPr>
          <w:rFonts w:hint="default" w:eastAsia="SimSun"/>
          <w:lang w:val="en-US" w:eastAsia="zh-CN"/>
        </w:rPr>
        <w:t xml:space="preserve">  </w:t>
      </w:r>
      <w:r>
        <w:rPr>
          <w:rFonts w:hint="eastAsia" w:eastAsia="SimSun"/>
          <w:lang w:val="en-US" w:eastAsia="zh-CN"/>
        </w:rPr>
        <w:t xml:space="preserve">Rpob-L533H  4  </w:t>
      </w:r>
    </w:p>
    <w:tbl>
      <w:tblPr>
        <w:tblW w:w="8813" w:type="dxa"/>
        <w:tblCellSpacing w:w="15" w:type="dxa"/>
        <w:tblInd w:w="0" w:type="dxa"/>
        <w:tblBorders>
          <w:top w:val="single" w:color="333333" w:sz="4" w:space="0"/>
          <w:left w:val="none" w:color="auto" w:sz="0" w:space="0"/>
          <w:bottom w:val="single" w:color="333333" w:sz="4" w:space="0"/>
          <w:right w:val="none" w:color="auto" w:sz="0" w:space="0"/>
          <w:insideH w:val="none" w:color="auto" w:sz="0" w:space="0"/>
          <w:insideV w:val="none" w:color="auto" w:sz="0" w:space="0"/>
        </w:tblBorders>
        <w:shd w:val="clear" w:color="auto" w:fill="F5FFF0"/>
        <w:tblLayout w:type="autofit"/>
        <w:tblCellMar>
          <w:top w:w="15" w:type="dxa"/>
          <w:left w:w="15" w:type="dxa"/>
          <w:bottom w:w="15" w:type="dxa"/>
          <w:right w:w="15" w:type="dxa"/>
        </w:tblCellMar>
      </w:tblPr>
      <w:tblGrid>
        <w:gridCol w:w="1753"/>
        <w:gridCol w:w="1753"/>
        <w:gridCol w:w="2768"/>
        <w:gridCol w:w="2539"/>
      </w:tblGrid>
      <w:tr w14:paraId="6CF5DFCE">
        <w:tblPrEx>
          <w:tblBorders>
            <w:top w:val="single" w:color="333333" w:sz="4" w:space="0"/>
            <w:left w:val="none" w:color="auto" w:sz="0" w:space="0"/>
            <w:bottom w:val="single" w:color="333333" w:sz="4" w:space="0"/>
            <w:right w:val="none" w:color="auto" w:sz="0" w:space="0"/>
            <w:insideH w:val="none" w:color="auto" w:sz="0" w:space="0"/>
            <w:insideV w:val="none" w:color="auto" w:sz="0" w:space="0"/>
          </w:tblBorders>
          <w:shd w:val="clear" w:color="auto" w:fill="F5FFF0"/>
          <w:tblCellMar>
            <w:top w:w="15" w:type="dxa"/>
            <w:left w:w="15" w:type="dxa"/>
            <w:bottom w:w="15" w:type="dxa"/>
            <w:right w:w="15" w:type="dxa"/>
          </w:tblCellMar>
        </w:tblPrEx>
        <w:trPr>
          <w:tblCellSpacing w:w="15" w:type="dxa"/>
        </w:trPr>
        <w:tc>
          <w:tcPr>
            <w:tcW w:w="0" w:type="auto"/>
            <w:shd w:val="clear" w:color="auto" w:fill="F5FFF0"/>
            <w:tcMar>
              <w:top w:w="56" w:type="dxa"/>
              <w:left w:w="56" w:type="dxa"/>
              <w:bottom w:w="56" w:type="dxa"/>
              <w:right w:w="56" w:type="dxa"/>
            </w:tcMar>
            <w:vAlign w:val="top"/>
          </w:tcPr>
          <w:p w14:paraId="660DC16F">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CC461</w:t>
            </w:r>
          </w:p>
        </w:tc>
        <w:tc>
          <w:tcPr>
            <w:tcW w:w="0" w:type="auto"/>
            <w:shd w:val="clear" w:color="auto" w:fill="F5FFF0"/>
            <w:tcMar>
              <w:top w:w="56" w:type="dxa"/>
              <w:left w:w="56" w:type="dxa"/>
              <w:bottom w:w="56" w:type="dxa"/>
              <w:right w:w="56" w:type="dxa"/>
            </w:tcMar>
            <w:vAlign w:val="top"/>
          </w:tcPr>
          <w:p w14:paraId="6C913F0C">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L533R</w:t>
            </w:r>
          </w:p>
        </w:tc>
        <w:tc>
          <w:tcPr>
            <w:tcW w:w="0" w:type="auto"/>
            <w:shd w:val="clear" w:color="auto" w:fill="F5FFF0"/>
            <w:tcMar>
              <w:top w:w="56" w:type="dxa"/>
              <w:left w:w="56" w:type="dxa"/>
              <w:bottom w:w="56" w:type="dxa"/>
              <w:right w:w="56" w:type="dxa"/>
            </w:tcMar>
            <w:vAlign w:val="top"/>
          </w:tcPr>
          <w:p w14:paraId="191B31B3">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CTC → CGA</w:t>
            </w:r>
          </w:p>
        </w:tc>
        <w:tc>
          <w:tcPr>
            <w:tcW w:w="0" w:type="auto"/>
            <w:shd w:val="clear" w:color="auto" w:fill="F5FFF0"/>
            <w:tcMar>
              <w:top w:w="56" w:type="dxa"/>
              <w:left w:w="56" w:type="dxa"/>
              <w:bottom w:w="56" w:type="dxa"/>
              <w:right w:w="56" w:type="dxa"/>
            </w:tcMar>
            <w:vAlign w:val="top"/>
          </w:tcPr>
          <w:p w14:paraId="4D4575CE">
            <w:pPr>
              <w:keepNext w:val="0"/>
              <w:keepLines w:val="0"/>
              <w:widowControl/>
              <w:suppressLineNumbers w:val="0"/>
              <w:jc w:val="left"/>
              <w:textAlignment w:val="top"/>
              <w:rPr>
                <w:rFonts w:hint="default" w:ascii="Cambria" w:hAnsi="Cambria" w:eastAsia="Cambria" w:cs="Cambria"/>
                <w:i w:val="0"/>
                <w:iCs w:val="0"/>
                <w:caps w:val="0"/>
                <w:color w:val="1B1B1B"/>
                <w:spacing w:val="0"/>
                <w:sz w:val="21"/>
                <w:szCs w:val="21"/>
              </w:rPr>
            </w:pPr>
            <w:r>
              <w:rPr>
                <w:rFonts w:hint="default" w:ascii="Cambria" w:hAnsi="Cambria" w:eastAsia="Cambria" w:cs="Cambria"/>
                <w:i w:val="0"/>
                <w:iCs w:val="0"/>
                <w:caps w:val="0"/>
                <w:color w:val="1B1B1B"/>
                <w:spacing w:val="0"/>
                <w:kern w:val="0"/>
                <w:sz w:val="21"/>
                <w:szCs w:val="21"/>
                <w:bdr w:val="none" w:color="auto" w:sz="0" w:space="0"/>
                <w:lang w:val="en-US" w:eastAsia="zh-CN" w:bidi="ar"/>
              </w:rPr>
              <w:t>This work</w:t>
            </w:r>
          </w:p>
        </w:tc>
      </w:tr>
    </w:tbl>
    <w:p w14:paraId="78FE61E9">
      <w:pPr>
        <w:rPr>
          <w:rFonts w:hint="default" w:eastAsia="SimSun"/>
          <w:lang w:val="en-US" w:eastAsia="zh-CN"/>
        </w:rPr>
      </w:pPr>
      <w:r>
        <w:rPr>
          <w:rFonts w:hint="default" w:eastAsia="SimSun"/>
          <w:lang w:val="en-US" w:eastAsia="zh-CN"/>
        </w:rPr>
        <w:t>The mutation also appears in the fork region of the β subunit, close to the RNA–DNA hybrid, a key region for transcriptional slippage. It is one of 25 mutations clustered around the rifampicin binding pocket that are of particular interest, suggesting that this site may alter the stability of RNA polymerase on the RNA–DNA hybrid, thereby affecting transcriptional slippage.</w:t>
      </w:r>
    </w:p>
    <w:p w14:paraId="43217ADB">
      <w:pPr>
        <w:rPr>
          <w:rFonts w:hint="default" w:eastAsia="SimSun"/>
          <w:lang w:val="en-US" w:eastAsia="zh-CN"/>
        </w:rPr>
      </w:pPr>
    </w:p>
    <w:p w14:paraId="62E0C946">
      <w:pPr>
        <w:rPr>
          <w:rFonts w:hint="eastAsia" w:eastAsia="SimSun"/>
          <w:lang w:val="en-US" w:eastAsia="zh-CN"/>
        </w:rPr>
      </w:pPr>
      <w:r>
        <w:rPr>
          <w:rFonts w:hint="default" w:eastAsia="SimSun"/>
          <w:lang w:val="en-US" w:eastAsia="zh-CN"/>
        </w:rPr>
        <w:t>rpoB_S512P</w:t>
      </w:r>
      <w:r>
        <w:rPr>
          <w:rFonts w:hint="eastAsia" w:eastAsia="SimSun"/>
          <w:lang w:val="en-US" w:eastAsia="zh-CN"/>
        </w:rPr>
        <w:t xml:space="preserve">   2</w:t>
      </w:r>
    </w:p>
    <w:p w14:paraId="2580FDA0">
      <w:pPr>
        <w:rPr>
          <w:rFonts w:hint="eastAsia" w:eastAsia="SimSun"/>
          <w:lang w:val="en-US" w:eastAsia="zh-CN"/>
        </w:rPr>
      </w:pPr>
      <w:r>
        <w:rPr>
          <w:rFonts w:hint="default" w:eastAsia="SimSun"/>
          <w:lang w:val="en-US" w:eastAsia="zh-CN"/>
        </w:rPr>
        <w:t>rpoB_S512</w:t>
      </w:r>
      <w:r>
        <w:rPr>
          <w:rFonts w:hint="eastAsia" w:eastAsia="SimSun"/>
          <w:lang w:val="en-US" w:eastAsia="zh-CN"/>
        </w:rPr>
        <w:t>F    2</w:t>
      </w:r>
    </w:p>
    <w:p w14:paraId="60F3F673">
      <w:pPr>
        <w:rPr>
          <w:rFonts w:hint="eastAsia" w:eastAsia="SimSun"/>
          <w:b/>
          <w:bCs/>
          <w:i w:val="0"/>
          <w:iCs w:val="0"/>
          <w:sz w:val="28"/>
          <w:szCs w:val="28"/>
          <w:lang w:val="en-US" w:eastAsia="zh-CN"/>
        </w:rPr>
      </w:pPr>
      <w:r>
        <w:rPr>
          <w:rFonts w:hint="eastAsia" w:eastAsia="SimSun"/>
          <w:b/>
          <w:bCs/>
          <w:i w:val="0"/>
          <w:iCs w:val="0"/>
          <w:sz w:val="28"/>
          <w:szCs w:val="28"/>
          <w:lang w:val="en-US" w:eastAsia="zh-CN"/>
        </w:rPr>
        <w:t>Reason of L533H/Q148R been selected as good candidate</w:t>
      </w:r>
    </w:p>
    <w:p w14:paraId="023FA7A4">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In my training data, these two sites (particularly around 533, at the end of the classic RRDR window) have been reported in several species and are strongly correlated with other typical RRDR sites (such as S512, S531/533, and S574). PU-RF learns a position-level prior that "changes at these sites ⇒ high resistance probability."</w:t>
      </w:r>
    </w:p>
    <w:p w14:paraId="4523ADD1">
      <w:pPr>
        <w:rPr>
          <w:rFonts w:hint="default" w:ascii="Calibri" w:hAnsi="Calibri" w:eastAsia="SimSun" w:cs="Calibri"/>
          <w:sz w:val="24"/>
          <w:szCs w:val="24"/>
          <w:lang w:val="en-US" w:eastAsia="zh-CN"/>
        </w:rPr>
      </w:pPr>
    </w:p>
    <w:p w14:paraId="7BA101BA">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Calculating the proportion of rpoB RRDR Cluster I (approximately 507–533 aligned to E. coli): Approximately 32–34% of candidates in the top3_per_species and high_conf are concentrated in the RRDR region, significantly higher than the "whole protein random" baseline. L533H falls right on the edge of the RRDR "hotspot," and is therefore naturally more frequently promoted by the model.</w:t>
      </w:r>
    </w:p>
    <w:p w14:paraId="2AFFC18E">
      <w:pPr>
        <w:rPr>
          <w:rFonts w:hint="default" w:ascii="Calibri" w:hAnsi="Calibri" w:eastAsia="SimSun" w:cs="Calibri"/>
          <w:sz w:val="24"/>
          <w:szCs w:val="24"/>
          <w:lang w:val="en-US" w:eastAsia="zh-CN"/>
        </w:rPr>
      </w:pPr>
    </w:p>
    <w:p w14:paraId="786D9374">
      <w:pPr>
        <w:rPr>
          <w:rFonts w:hint="default" w:ascii="Calibri" w:hAnsi="Calibri" w:eastAsia="SimSun" w:cs="Calibri"/>
          <w:b/>
          <w:bCs/>
          <w:sz w:val="24"/>
          <w:szCs w:val="24"/>
          <w:lang w:val="en-US" w:eastAsia="zh-CN"/>
        </w:rPr>
      </w:pPr>
      <w:bookmarkStart w:id="0" w:name="_GoBack"/>
      <w:r>
        <w:rPr>
          <w:rFonts w:hint="default" w:ascii="Calibri" w:hAnsi="Calibri" w:eastAsia="SimSun" w:cs="Calibri"/>
          <w:b/>
          <w:bCs/>
          <w:sz w:val="24"/>
          <w:szCs w:val="24"/>
          <w:lang w:val="en-US" w:eastAsia="zh-CN"/>
        </w:rPr>
        <w:t>Substitution type preference:</w:t>
      </w:r>
    </w:p>
    <w:bookmarkEnd w:id="0"/>
    <w:p w14:paraId="0FD838CB">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In all three tables, R (Arg) and H (His) are highly represented as substituted amino acids (R &gt; H &gt; Y). This suggests that the model is biased towards predicting substitutions that introduce positive charge/aromaticity—substitutions near pocket sites that are more likely to perturb rifampicin binding (altering hydrogen bonds, electrostatics, or steric hindrance).</w:t>
      </w:r>
    </w:p>
    <w:p w14:paraId="4ABE094C">
      <w:pPr>
        <w:rPr>
          <w:rFonts w:hint="default" w:ascii="Calibri" w:hAnsi="Calibri" w:eastAsia="SimSun" w:cs="Calibri"/>
          <w:sz w:val="24"/>
          <w:szCs w:val="24"/>
          <w:lang w:val="en-US" w:eastAsia="zh-CN"/>
        </w:rPr>
      </w:pPr>
    </w:p>
    <w:p w14:paraId="740C88D9">
      <w:pPr>
        <w:rPr>
          <w:rFonts w:hint="default" w:ascii="Calibri" w:hAnsi="Calibri" w:eastAsia="SimSun" w:cs="Calibri"/>
          <w:b/>
          <w:bCs/>
          <w:sz w:val="24"/>
          <w:szCs w:val="24"/>
          <w:lang w:val="en-US" w:eastAsia="zh-CN"/>
        </w:rPr>
      </w:pPr>
      <w:r>
        <w:rPr>
          <w:rFonts w:hint="default" w:ascii="Calibri" w:hAnsi="Calibri" w:eastAsia="SimSun" w:cs="Calibri"/>
          <w:b/>
          <w:bCs/>
          <w:sz w:val="24"/>
          <w:szCs w:val="24"/>
          <w:lang w:val="en-US" w:eastAsia="zh-CN"/>
        </w:rPr>
        <w:t>Of note:</w:t>
      </w:r>
    </w:p>
    <w:p w14:paraId="47F7A27F">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Q148 is not a classic RRDR, yet it appears very frequently across species in my predictions (47 times/top-3 list). This is generally due to two reasons:</w:t>
      </w:r>
    </w:p>
    <w:p w14:paraId="234F16B8">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The training focused on positive samples in certain bacterial communities where Q148 is already present (or sites that strongly co-occur with it);</w:t>
      </w:r>
    </w:p>
    <w:p w14:paraId="382958D6">
      <w:pPr>
        <w:rPr>
          <w:rFonts w:hint="default" w:ascii="Calibri" w:hAnsi="Calibri" w:eastAsia="SimSun" w:cs="Calibri"/>
          <w:sz w:val="24"/>
          <w:szCs w:val="24"/>
          <w:lang w:val="en-US" w:eastAsia="zh-CN"/>
        </w:rPr>
      </w:pPr>
    </w:p>
    <w:p w14:paraId="1A1F17B4">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In my species clusters, many "neighboring species" have feature combinations similar to these positive samples, leading PU-RF to identify Q148R as a transferable secondary hotspot.</w:t>
      </w:r>
    </w:p>
    <w:p w14:paraId="3DE1826E">
      <w:pPr>
        <w:rPr>
          <w:rFonts w:hint="default" w:ascii="Calibri" w:hAnsi="Calibri" w:eastAsia="SimSun" w:cs="Calibri"/>
          <w:sz w:val="24"/>
          <w:szCs w:val="24"/>
          <w:lang w:val="en-US" w:eastAsia="zh-CN"/>
        </w:rPr>
      </w:pPr>
    </w:p>
    <w:p w14:paraId="7BA596F0">
      <w:pPr>
        <w:rPr>
          <w:rFonts w:hint="default" w:ascii="Calibri" w:hAnsi="Calibri" w:eastAsia="SimSun" w:cs="Calibri"/>
          <w:sz w:val="24"/>
          <w:szCs w:val="24"/>
          <w:lang w:val="en-US" w:eastAsia="zh-CN"/>
        </w:rPr>
      </w:pPr>
      <w:r>
        <w:rPr>
          <w:rFonts w:hint="default" w:ascii="Calibri" w:hAnsi="Calibri" w:eastAsia="SimSun" w:cs="Calibri"/>
          <w:sz w:val="24"/>
          <w:szCs w:val="24"/>
          <w:lang w:val="en-US" w:eastAsia="zh-CN"/>
        </w:rPr>
        <w:t>This may provide a strong candidate for a "non-RRDR but consistently occurring" mutation, worthy of separate discussion.</w:t>
      </w:r>
    </w:p>
    <w:p w14:paraId="726C0F4B">
      <w:pPr>
        <w:rPr>
          <w:rFonts w:hint="default" w:ascii="SimSun" w:hAnsi="SimSun" w:eastAsia="SimSun" w:cs="SimSun"/>
          <w:sz w:val="24"/>
          <w:szCs w:val="24"/>
          <w:lang w:val="en-US" w:eastAsia="zh-CN"/>
        </w:rPr>
      </w:pPr>
    </w:p>
    <w:p w14:paraId="1A49BCEC">
      <w:pPr>
        <w:rPr>
          <w:rFonts w:hint="eastAsia" w:ascii="SimSun" w:hAnsi="SimSun" w:eastAsia="SimSun" w:cs="SimSun"/>
          <w:sz w:val="24"/>
          <w:szCs w:val="24"/>
          <w:lang w:eastAsia="zh-CN"/>
        </w:rPr>
      </w:pPr>
    </w:p>
    <w:p w14:paraId="0791A344">
      <w:pPr>
        <w:rPr>
          <w:rFonts w:hint="eastAsia" w:eastAsia="SimSun"/>
          <w:lang w:val="en-US" w:eastAsia="zh-CN"/>
        </w:rPr>
      </w:pPr>
      <w:r>
        <w:rPr>
          <w:rFonts w:hint="eastAsia" w:eastAsia="SimSun"/>
          <w:lang w:val="en-US" w:eastAsia="zh-CN"/>
        </w:rPr>
        <w:t>Species analysis:</w:t>
      </w:r>
    </w:p>
    <w:p w14:paraId="764914B1">
      <w:pPr>
        <w:rPr>
          <w:rFonts w:hint="eastAsia" w:eastAsia="SimSun"/>
          <w:lang w:val="en-US" w:eastAsia="zh-CN"/>
        </w:rPr>
      </w:pPr>
      <w:r>
        <w:rPr>
          <w:rFonts w:hint="default" w:eastAsia="SimSun"/>
          <w:lang w:val="en-US" w:eastAsia="zh-CN"/>
        </w:rPr>
        <w:t>Escherichia coli</w:t>
      </w:r>
      <w:r>
        <w:rPr>
          <w:rFonts w:hint="eastAsia" w:eastAsia="SimSun"/>
          <w:lang w:val="en-US" w:eastAsia="zh-CN"/>
        </w:rPr>
        <w:t>--4 muts</w:t>
      </w:r>
    </w:p>
    <w:p w14:paraId="340EF4FC">
      <w:pPr>
        <w:rPr>
          <w:rFonts w:hint="eastAsia" w:eastAsia="SimSun"/>
          <w:lang w:val="en-US" w:eastAsia="zh-CN"/>
        </w:rPr>
      </w:pPr>
      <w:r>
        <w:rPr>
          <w:rFonts w:hint="eastAsia" w:eastAsia="SimSun"/>
          <w:lang w:val="en-US" w:eastAsia="zh-CN"/>
        </w:rPr>
        <w:t>Gensu Pseudomonas--8 muts</w:t>
      </w:r>
    </w:p>
    <w:p w14:paraId="2278CBE0">
      <w:pPr>
        <w:rPr>
          <w:rFonts w:hint="default" w:eastAsia="SimSun"/>
          <w:lang w:val="en-US" w:eastAsia="zh-CN"/>
        </w:rPr>
      </w:pPr>
      <w:r>
        <w:rPr>
          <w:rFonts w:hint="default" w:eastAsia="SimSun"/>
          <w:lang w:val="en-US" w:eastAsia="zh-CN"/>
        </w:rPr>
        <w:t>Pseudomonas is a </w:t>
      </w:r>
      <w:r>
        <w:rPr>
          <w:rFonts w:hint="default" w:eastAsia="SimSun"/>
          <w:lang w:val="en-US" w:eastAsia="zh-CN"/>
        </w:rPr>
        <w:fldChar w:fldCharType="begin"/>
      </w:r>
      <w:r>
        <w:rPr>
          <w:rFonts w:hint="default" w:eastAsia="SimSun"/>
          <w:lang w:val="en-US" w:eastAsia="zh-CN"/>
        </w:rPr>
        <w:instrText xml:space="preserve"> HYPERLINK "https://en.wikipedia.org/wiki/Genus" \o "Genus" </w:instrText>
      </w:r>
      <w:r>
        <w:rPr>
          <w:rFonts w:hint="default" w:eastAsia="SimSun"/>
          <w:lang w:val="en-US" w:eastAsia="zh-CN"/>
        </w:rPr>
        <w:fldChar w:fldCharType="separate"/>
      </w:r>
      <w:r>
        <w:rPr>
          <w:rFonts w:hint="default" w:eastAsia="SimSun"/>
          <w:lang w:val="en-US" w:eastAsia="zh-CN"/>
        </w:rPr>
        <w:t>genus</w:t>
      </w:r>
      <w:r>
        <w:rPr>
          <w:rFonts w:hint="default" w:eastAsia="SimSun"/>
          <w:lang w:val="en-US" w:eastAsia="zh-CN"/>
        </w:rPr>
        <w:fldChar w:fldCharType="end"/>
      </w:r>
      <w:r>
        <w:rPr>
          <w:rFonts w:hint="default" w:eastAsia="SimSun"/>
          <w:lang w:val="en-US" w:eastAsia="zh-CN"/>
        </w:rPr>
        <w:t> of </w:t>
      </w:r>
      <w:r>
        <w:rPr>
          <w:rFonts w:hint="default" w:eastAsia="SimSun"/>
          <w:lang w:val="en-US" w:eastAsia="zh-CN"/>
        </w:rPr>
        <w:fldChar w:fldCharType="begin"/>
      </w:r>
      <w:r>
        <w:rPr>
          <w:rFonts w:hint="default" w:eastAsia="SimSun"/>
          <w:lang w:val="en-US" w:eastAsia="zh-CN"/>
        </w:rPr>
        <w:instrText xml:space="preserve"> HYPERLINK "https://en.wikipedia.org/wiki/Gram-negative_bacteria" \o "Gram-negative bacteria" </w:instrText>
      </w:r>
      <w:r>
        <w:rPr>
          <w:rFonts w:hint="default" w:eastAsia="SimSun"/>
          <w:lang w:val="en-US" w:eastAsia="zh-CN"/>
        </w:rPr>
        <w:fldChar w:fldCharType="separate"/>
      </w:r>
      <w:r>
        <w:rPr>
          <w:rFonts w:hint="default" w:eastAsia="SimSun"/>
          <w:lang w:val="en-US" w:eastAsia="zh-CN"/>
        </w:rPr>
        <w:t>Gram-negative bacteria</w:t>
      </w:r>
      <w:r>
        <w:rPr>
          <w:rFonts w:hint="default" w:eastAsia="SimSun"/>
          <w:lang w:val="en-US" w:eastAsia="zh-CN"/>
        </w:rPr>
        <w:fldChar w:fldCharType="end"/>
      </w:r>
      <w:r>
        <w:rPr>
          <w:rFonts w:hint="default" w:eastAsia="SimSun"/>
          <w:lang w:val="en-US" w:eastAsia="zh-CN"/>
        </w:rPr>
        <w:t> belonging to the family </w:t>
      </w:r>
      <w:r>
        <w:rPr>
          <w:rFonts w:hint="default" w:eastAsia="SimSun"/>
          <w:lang w:val="en-US" w:eastAsia="zh-CN"/>
        </w:rPr>
        <w:fldChar w:fldCharType="begin"/>
      </w:r>
      <w:r>
        <w:rPr>
          <w:rFonts w:hint="default" w:eastAsia="SimSun"/>
          <w:lang w:val="en-US" w:eastAsia="zh-CN"/>
        </w:rPr>
        <w:instrText xml:space="preserve"> HYPERLINK "https://en.wikipedia.org/wiki/Pseudomonadaceae" \o "Pseudomonadaceae" </w:instrText>
      </w:r>
      <w:r>
        <w:rPr>
          <w:rFonts w:hint="default" w:eastAsia="SimSun"/>
          <w:lang w:val="en-US" w:eastAsia="zh-CN"/>
        </w:rPr>
        <w:fldChar w:fldCharType="separate"/>
      </w:r>
      <w:r>
        <w:rPr>
          <w:rFonts w:hint="default" w:eastAsia="SimSun"/>
          <w:lang w:val="en-US" w:eastAsia="zh-CN"/>
        </w:rPr>
        <w:t>Pseudomonadaceae</w:t>
      </w:r>
      <w:r>
        <w:rPr>
          <w:rFonts w:hint="default" w:eastAsia="SimSun"/>
          <w:lang w:val="en-US" w:eastAsia="zh-CN"/>
        </w:rPr>
        <w:fldChar w:fldCharType="end"/>
      </w:r>
      <w:r>
        <w:rPr>
          <w:rFonts w:hint="default" w:eastAsia="SimSun"/>
          <w:lang w:val="en-US" w:eastAsia="zh-CN"/>
        </w:rPr>
        <w:t> in the class </w:t>
      </w:r>
      <w:r>
        <w:rPr>
          <w:rFonts w:hint="default" w:eastAsia="SimSun"/>
          <w:lang w:val="en-US" w:eastAsia="zh-CN"/>
        </w:rPr>
        <w:fldChar w:fldCharType="begin"/>
      </w:r>
      <w:r>
        <w:rPr>
          <w:rFonts w:hint="default" w:eastAsia="SimSun"/>
          <w:lang w:val="en-US" w:eastAsia="zh-CN"/>
        </w:rPr>
        <w:instrText xml:space="preserve"> HYPERLINK "https://en.wikipedia.org/wiki/Gammaproteobacteria" \o "Gammaproteobacteria" </w:instrText>
      </w:r>
      <w:r>
        <w:rPr>
          <w:rFonts w:hint="default" w:eastAsia="SimSun"/>
          <w:lang w:val="en-US" w:eastAsia="zh-CN"/>
        </w:rPr>
        <w:fldChar w:fldCharType="separate"/>
      </w:r>
      <w:r>
        <w:rPr>
          <w:rFonts w:hint="default" w:eastAsia="SimSun"/>
          <w:lang w:val="en-US" w:eastAsia="zh-CN"/>
        </w:rPr>
        <w:t>Gammaproteobacteria</w:t>
      </w:r>
      <w:r>
        <w:rPr>
          <w:rFonts w:hint="default" w:eastAsia="SimSun"/>
          <w:lang w:val="en-US" w:eastAsia="zh-CN"/>
        </w:rPr>
        <w:fldChar w:fldCharType="end"/>
      </w:r>
      <w:r>
        <w:rPr>
          <w:rFonts w:hint="default" w:eastAsia="SimSun"/>
          <w:lang w:val="en-US" w:eastAsia="zh-CN"/>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E77E2B"/>
    <w:rsid w:val="0F377A0B"/>
    <w:rsid w:val="2A7E6330"/>
    <w:rsid w:val="3355083D"/>
    <w:rsid w:val="35192095"/>
    <w:rsid w:val="4C1B0BC7"/>
    <w:rsid w:val="569264C3"/>
    <w:rsid w:val="637739E5"/>
    <w:rsid w:val="6BD24E60"/>
    <w:rsid w:val="7CF663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qFormat="1" w:uiPriority="99" w:semiHidden="0" w:name="List Bullet"/>
    <w:lsdException w:qFormat="1"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2">
    <w:name w:val="macro"/>
    <w:link w:val="150"/>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9"/>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7"/>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9"/>
    <w:unhideWhenUsed/>
    <w:uiPriority w:val="99"/>
    <w:pPr>
      <w:tabs>
        <w:tab w:val="center" w:pos="4680"/>
        <w:tab w:val="right" w:pos="9360"/>
      </w:tabs>
      <w:spacing w:after="0" w:line="240" w:lineRule="auto"/>
    </w:pPr>
  </w:style>
  <w:style w:type="paragraph" w:styleId="25">
    <w:name w:val="header"/>
    <w:basedOn w:val="1"/>
    <w:link w:val="138"/>
    <w:unhideWhenUsed/>
    <w:uiPriority w:val="99"/>
    <w:pPr>
      <w:tabs>
        <w:tab w:val="center" w:pos="4680"/>
        <w:tab w:val="right" w:pos="9360"/>
      </w:tabs>
      <w:spacing w:after="0" w:line="240" w:lineRule="auto"/>
    </w:pPr>
  </w:style>
  <w:style w:type="paragraph" w:styleId="26">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8"/>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uiPriority w:val="99"/>
    <w:pPr>
      <w:spacing w:after="120"/>
      <w:ind w:left="1080"/>
      <w:contextualSpacing/>
    </w:pPr>
  </w:style>
  <w:style w:type="paragraph" w:styleId="32">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yperlink"/>
    <w:basedOn w:val="133"/>
    <w:semiHidden/>
    <w:unhideWhenUsed/>
    <w:uiPriority w:val="99"/>
    <w:rPr>
      <w:color w:val="0000FF"/>
      <w:u w:val="single"/>
    </w:rPr>
  </w:style>
  <w:style w:type="character" w:styleId="137">
    <w:name w:val="HTML Code"/>
    <w:basedOn w:val="133"/>
    <w:semiHidden/>
    <w:unhideWhenUsed/>
    <w:qFormat/>
    <w:uiPriority w:val="99"/>
    <w:rPr>
      <w:rFonts w:ascii="Courier New" w:hAnsi="Courier New"/>
      <w:sz w:val="20"/>
    </w:rPr>
  </w:style>
  <w:style w:type="character" w:customStyle="1" w:styleId="138">
    <w:name w:val="Header Char"/>
    <w:basedOn w:val="133"/>
    <w:link w:val="25"/>
    <w:qFormat/>
    <w:uiPriority w:val="99"/>
  </w:style>
  <w:style w:type="character" w:customStyle="1" w:styleId="139">
    <w:name w:val="Footer Char"/>
    <w:basedOn w:val="133"/>
    <w:link w:val="24"/>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33"/>
    <w:link w:val="3"/>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33"/>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33"/>
    <w:link w:val="19"/>
    <w:uiPriority w:val="99"/>
  </w:style>
  <w:style w:type="character" w:customStyle="1" w:styleId="148">
    <w:name w:val="Body Text 2 Char"/>
    <w:basedOn w:val="133"/>
    <w:link w:val="28"/>
    <w:qFormat/>
    <w:uiPriority w:val="99"/>
  </w:style>
  <w:style w:type="character" w:customStyle="1" w:styleId="149">
    <w:name w:val="Body Text 3 Char"/>
    <w:basedOn w:val="133"/>
    <w:link w:val="17"/>
    <w:uiPriority w:val="99"/>
    <w:rPr>
      <w:sz w:val="16"/>
      <w:szCs w:val="16"/>
    </w:rPr>
  </w:style>
  <w:style w:type="character" w:customStyle="1" w:styleId="150">
    <w:name w:val="Macro Text Char"/>
    <w:basedOn w:val="133"/>
    <w:link w:val="2"/>
    <w:qFormat/>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33"/>
    <w:link w:val="151"/>
    <w:qFormat/>
    <w:uiPriority w:val="29"/>
    <w:rPr>
      <w:i/>
      <w:iCs/>
      <w:color w:val="000000" w:themeColor="text1"/>
      <w14:textFill>
        <w14:solidFill>
          <w14:schemeClr w14:val="tx1"/>
        </w14:solidFill>
      </w14:textFill>
    </w:rPr>
  </w:style>
  <w:style w:type="character" w:customStyle="1" w:styleId="153">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33"/>
    <w:link w:val="7"/>
    <w:semiHidden/>
    <w:uiPriority w:val="9"/>
    <w:rPr>
      <w:rFonts w:asciiTheme="majorHAnsi" w:hAnsiTheme="majorHAnsi" w:eastAsiaTheme="majorEastAsia" w:cstheme="majorBidi"/>
      <w:color w:val="254061" w:themeColor="accent1" w:themeShade="80"/>
    </w:rPr>
  </w:style>
  <w:style w:type="character" w:customStyle="1" w:styleId="155">
    <w:name w:val="Heading 6 Char"/>
    <w:basedOn w:val="133"/>
    <w:link w:val="8"/>
    <w:semiHidden/>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33"/>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33"/>
    <w:link w:val="159"/>
    <w:uiPriority w:val="30"/>
    <w:rPr>
      <w:b/>
      <w:bCs/>
      <w:i/>
      <w:iCs/>
      <w:color w:val="4F81BD" w:themeColor="accent1"/>
      <w14:textFill>
        <w14:solidFill>
          <w14:schemeClr w14:val="accent1"/>
        </w14:solidFill>
      </w14:textFill>
    </w:rPr>
  </w:style>
  <w:style w:type="character" w:customStyle="1" w:styleId="161">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33"/>
    <w:qFormat/>
    <w:uiPriority w:val="21"/>
    <w:rPr>
      <w:b/>
      <w:bCs/>
      <w:i/>
      <w:iCs/>
      <w:color w:val="4F81BD" w:themeColor="accent1"/>
      <w14:textFill>
        <w14:solidFill>
          <w14:schemeClr w14:val="accent1"/>
        </w14:solidFill>
      </w14:textFill>
    </w:rPr>
  </w:style>
  <w:style w:type="character" w:customStyle="1" w:styleId="163">
    <w:name w:val="Subtle Reference"/>
    <w:basedOn w:val="133"/>
    <w:qFormat/>
    <w:uiPriority w:val="31"/>
    <w:rPr>
      <w:smallCaps/>
      <w:color w:val="C0504D" w:themeColor="accent2"/>
      <w:u w:val="single"/>
      <w14:textFill>
        <w14:solidFill>
          <w14:schemeClr w14:val="accent2"/>
        </w14:solidFill>
      </w14:textFill>
    </w:rPr>
  </w:style>
  <w:style w:type="character" w:customStyle="1" w:styleId="164">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33"/>
    <w:qFormat/>
    <w:uiPriority w:val="33"/>
    <w:rPr>
      <w:b/>
      <w:bCs/>
      <w:smallCaps/>
      <w:spacing w:val="5"/>
    </w:rPr>
  </w:style>
  <w:style w:type="paragraph" w:customStyle="1" w:styleId="166">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873</Words>
  <Characters>4077</Characters>
  <Lines>0</Lines>
  <Paragraphs>0</Paragraphs>
  <TotalTime>1310</TotalTime>
  <ScaleCrop>false</ScaleCrop>
  <LinksUpToDate>false</LinksUpToDate>
  <CharactersWithSpaces>4749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WPS_1754153612</cp:lastModifiedBy>
  <dcterms:modified xsi:type="dcterms:W3CDTF">2025-09-25T05:21:29Z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372A7BEEAF0E4835B9F9B6646C2C905E_13</vt:lpwstr>
  </property>
  <property fmtid="{D5CDD505-2E9C-101B-9397-08002B2CF9AE}" pid="4" name="KSOTemplateDocerSaveRecord">
    <vt:lpwstr>eyJoZGlkIjoiZDM5Nzk5MDJiYTM2MzExOTdkMzJjMTJmMzA5M2E4OTYiLCJ1c2VySWQiOiIxNzI2NjE4Mjg5In0=</vt:lpwstr>
  </property>
</Properties>
</file>