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A0CF6" w14:textId="368EB45C" w:rsidR="00E54B83" w:rsidRDefault="00506A6D">
      <w:pPr>
        <w:rPr>
          <w:rFonts w:ascii="Garamond" w:hAnsi="Garamond"/>
          <w:lang w:val="en-US"/>
        </w:rPr>
      </w:pPr>
      <w:proofErr w:type="spellStart"/>
      <w:r>
        <w:rPr>
          <w:rFonts w:ascii="Garamond" w:hAnsi="Garamond"/>
          <w:lang w:val="en-US"/>
        </w:rPr>
        <w:t>StatsSA’s</w:t>
      </w:r>
      <w:proofErr w:type="spellEnd"/>
      <w:r>
        <w:rPr>
          <w:rFonts w:ascii="Garamond" w:hAnsi="Garamond"/>
          <w:lang w:val="en-US"/>
        </w:rPr>
        <w:t xml:space="preserve"> June inflation report was released last week, with Headline CPI coming in at 5% - the highest number in two years</w:t>
      </w:r>
      <w:r w:rsidR="00670B1D">
        <w:rPr>
          <w:rFonts w:ascii="Garamond" w:hAnsi="Garamond"/>
          <w:lang w:val="en-US"/>
        </w:rPr>
        <w:t xml:space="preserve"> – while core inflation accelerated to 4.1%, up from 3.8%</w:t>
      </w:r>
      <w:r w:rsidR="00670B1D">
        <w:rPr>
          <w:rStyle w:val="FootnoteReference"/>
          <w:rFonts w:ascii="Garamond" w:hAnsi="Garamond"/>
          <w:lang w:val="en-US"/>
        </w:rPr>
        <w:footnoteReference w:id="1"/>
      </w:r>
      <w:r w:rsidR="00670B1D">
        <w:rPr>
          <w:rFonts w:ascii="Garamond" w:hAnsi="Garamond"/>
          <w:lang w:val="en-US"/>
        </w:rPr>
        <w:t xml:space="preserve">. The inflation figures, along with the MPC policy </w:t>
      </w:r>
      <w:r w:rsidR="00822B21">
        <w:rPr>
          <w:rFonts w:ascii="Garamond" w:hAnsi="Garamond"/>
          <w:lang w:val="en-US"/>
        </w:rPr>
        <w:t>announcement shortly</w:t>
      </w:r>
      <w:r w:rsidR="00670B1D">
        <w:rPr>
          <w:rFonts w:ascii="Garamond" w:hAnsi="Garamond"/>
          <w:lang w:val="en-US"/>
        </w:rPr>
        <w:t xml:space="preserve"> afterwards, surprised financial markets, with the value of the Rand falling following both of these events, as investors had anticipated lower inflation prints </w:t>
      </w:r>
      <w:r w:rsidR="00C118FB">
        <w:rPr>
          <w:rFonts w:ascii="Garamond" w:hAnsi="Garamond"/>
          <w:lang w:val="en-US"/>
        </w:rPr>
        <w:t>despite the Strait of Hormuz crisis showing little signs of being resolved, while the Reserve Bank defied expectations of a hike, choosing instead to hold the policy rate at 7%.</w:t>
      </w:r>
    </w:p>
    <w:p w14:paraId="7FC8A037" w14:textId="69C13129" w:rsidR="00C118FB" w:rsidRDefault="009C4B86" w:rsidP="00C118FB">
      <w:pPr>
        <w:pStyle w:val="Heading2"/>
        <w:rPr>
          <w:lang w:val="en-US"/>
        </w:rPr>
      </w:pPr>
      <w:r>
        <w:rPr>
          <w:lang w:val="en-US"/>
        </w:rPr>
        <w:t xml:space="preserve">Headline </w:t>
      </w:r>
      <w:r w:rsidR="00546D59">
        <w:rPr>
          <w:lang w:val="en-US"/>
        </w:rPr>
        <w:t xml:space="preserve">Inflation: </w:t>
      </w:r>
      <w:r>
        <w:rPr>
          <w:lang w:val="en-US"/>
        </w:rPr>
        <w:t xml:space="preserve"> </w:t>
      </w:r>
      <w:r w:rsidRPr="00546D59">
        <w:rPr>
          <w:b w:val="0"/>
          <w:bCs/>
          <w:lang w:val="en-US"/>
        </w:rPr>
        <w:t xml:space="preserve">Fuel </w:t>
      </w:r>
      <w:r w:rsidR="00546D59" w:rsidRPr="00546D59">
        <w:rPr>
          <w:b w:val="0"/>
          <w:bCs/>
          <w:lang w:val="en-US"/>
        </w:rPr>
        <w:t>woes overshadow</w:t>
      </w:r>
      <w:r w:rsidRPr="00546D59">
        <w:rPr>
          <w:b w:val="0"/>
          <w:bCs/>
          <w:lang w:val="en-US"/>
        </w:rPr>
        <w:t xml:space="preserve"> </w:t>
      </w:r>
      <w:r w:rsidR="00546D59" w:rsidRPr="00546D59">
        <w:rPr>
          <w:b w:val="0"/>
          <w:bCs/>
          <w:lang w:val="en-US"/>
        </w:rPr>
        <w:t>lower food prices</w:t>
      </w:r>
    </w:p>
    <w:p w14:paraId="5D6B56C6" w14:textId="06E4605E" w:rsidR="00C118FB" w:rsidRDefault="00822B21" w:rsidP="00864999">
      <w:pPr>
        <w:pStyle w:val="NoSpacing"/>
        <w:spacing w:line="360" w:lineRule="auto"/>
        <w:rPr>
          <w:rFonts w:ascii="Garamond" w:hAnsi="Garamond"/>
          <w:lang w:val="en-US"/>
        </w:rPr>
      </w:pPr>
      <w:r w:rsidRPr="00822B21">
        <w:rPr>
          <w:rFonts w:ascii="Garamond" w:hAnsi="Garamond"/>
          <w:lang w:val="en-US"/>
        </w:rPr>
        <w:t xml:space="preserve">The June </w:t>
      </w:r>
      <w:r w:rsidR="004A26F4">
        <w:rPr>
          <w:rFonts w:ascii="Garamond" w:hAnsi="Garamond"/>
          <w:lang w:val="en-US"/>
        </w:rPr>
        <w:t>year-on-year</w:t>
      </w:r>
      <w:r>
        <w:rPr>
          <w:rFonts w:ascii="Garamond" w:hAnsi="Garamond"/>
          <w:lang w:val="en-US"/>
        </w:rPr>
        <w:t xml:space="preserve"> </w:t>
      </w:r>
      <w:r w:rsidRPr="00822B21">
        <w:rPr>
          <w:rFonts w:ascii="Garamond" w:hAnsi="Garamond"/>
          <w:lang w:val="en-US"/>
        </w:rPr>
        <w:t xml:space="preserve">CPI of </w:t>
      </w:r>
      <w:r>
        <w:rPr>
          <w:rFonts w:ascii="Garamond" w:hAnsi="Garamond"/>
          <w:lang w:val="en-US"/>
        </w:rPr>
        <w:t>5%</w:t>
      </w:r>
      <w:r w:rsidR="00772C21">
        <w:rPr>
          <w:rFonts w:ascii="Garamond" w:hAnsi="Garamond"/>
          <w:lang w:val="en-US"/>
        </w:rPr>
        <w:t xml:space="preserve"> </w:t>
      </w:r>
      <w:r w:rsidR="004A26F4">
        <w:rPr>
          <w:rFonts w:ascii="Garamond" w:hAnsi="Garamond"/>
          <w:lang w:val="en-US"/>
        </w:rPr>
        <w:t xml:space="preserve">was above what had been anticipated according to surveying by Reuters, with fuel prices pushing the headline figure further above the Reserve Bank’s target of 3%. </w:t>
      </w:r>
    </w:p>
    <w:p w14:paraId="1055A2C7" w14:textId="77777777" w:rsidR="004A26F4" w:rsidRDefault="004A26F4" w:rsidP="00864999">
      <w:pPr>
        <w:pStyle w:val="NoSpacing"/>
        <w:spacing w:line="360" w:lineRule="auto"/>
        <w:rPr>
          <w:rFonts w:ascii="Garamond" w:hAnsi="Garamond"/>
          <w:lang w:val="en-US"/>
        </w:rPr>
      </w:pPr>
    </w:p>
    <w:p w14:paraId="2EB8070D" w14:textId="77777777" w:rsidR="00864999" w:rsidRDefault="004A26F4" w:rsidP="00864999">
      <w:pPr>
        <w:pStyle w:val="NoSpacing"/>
        <w:spacing w:line="360" w:lineRule="auto"/>
        <w:rPr>
          <w:rFonts w:ascii="Garamond" w:hAnsi="Garamond"/>
          <w:lang w:val="en-US"/>
        </w:rPr>
      </w:pPr>
      <w:r w:rsidRPr="009C4B86">
        <w:rPr>
          <w:rFonts w:ascii="Garamond" w:hAnsi="Garamond"/>
          <w:b/>
          <w:bCs/>
          <w:lang w:val="en-US"/>
        </w:rPr>
        <w:t xml:space="preserve">Food </w:t>
      </w:r>
      <w:r w:rsidR="009C4B86" w:rsidRPr="009C4B86">
        <w:rPr>
          <w:rFonts w:ascii="Garamond" w:hAnsi="Garamond"/>
          <w:b/>
          <w:bCs/>
          <w:lang w:val="en-US"/>
        </w:rPr>
        <w:t>and non-alcoholic beverages</w:t>
      </w:r>
      <w:r w:rsidR="009C4B86">
        <w:rPr>
          <w:rFonts w:ascii="Garamond" w:hAnsi="Garamond"/>
          <w:lang w:val="en-US"/>
        </w:rPr>
        <w:t xml:space="preserve"> </w:t>
      </w:r>
      <w:r w:rsidR="007F1131">
        <w:rPr>
          <w:rFonts w:ascii="Garamond" w:hAnsi="Garamond"/>
          <w:lang w:val="en-US"/>
        </w:rPr>
        <w:t xml:space="preserve">reported a year-on-year increase of just 1.63%, </w:t>
      </w:r>
      <w:r w:rsidR="009C4B86">
        <w:rPr>
          <w:rFonts w:ascii="Garamond" w:hAnsi="Garamond"/>
          <w:lang w:val="en-US"/>
        </w:rPr>
        <w:t>continu</w:t>
      </w:r>
      <w:r w:rsidR="007F1131">
        <w:rPr>
          <w:rFonts w:ascii="Garamond" w:hAnsi="Garamond"/>
          <w:lang w:val="en-US"/>
        </w:rPr>
        <w:t>ing</w:t>
      </w:r>
      <w:r w:rsidR="009C4B86">
        <w:rPr>
          <w:rFonts w:ascii="Garamond" w:hAnsi="Garamond"/>
          <w:lang w:val="en-US"/>
        </w:rPr>
        <w:t xml:space="preserve"> a disinflationary trend over the last year, with 3 consecutive months showing price increases below the 3% target. While meat prices remained elevated as the Foot-and-Mouth Disease continues to plague farmers, staples like rice, potatoes and beans saw prices fall significantly compared to last year June.</w:t>
      </w:r>
      <w:r w:rsidR="007F1131">
        <w:rPr>
          <w:rFonts w:ascii="Garamond" w:hAnsi="Garamond"/>
          <w:lang w:val="en-US"/>
        </w:rPr>
        <w:t xml:space="preserve"> </w:t>
      </w:r>
    </w:p>
    <w:p w14:paraId="6314A7C8" w14:textId="77777777" w:rsidR="00864999" w:rsidRDefault="00864999" w:rsidP="00864999">
      <w:pPr>
        <w:pStyle w:val="NoSpacing"/>
        <w:spacing w:line="360" w:lineRule="auto"/>
        <w:rPr>
          <w:rFonts w:ascii="Garamond" w:hAnsi="Garamond"/>
          <w:lang w:val="en-US"/>
        </w:rPr>
      </w:pPr>
    </w:p>
    <w:p w14:paraId="314E8366" w14:textId="751FC42F" w:rsidR="00670B1D" w:rsidRDefault="007F1131" w:rsidP="00864999">
      <w:pPr>
        <w:pStyle w:val="NoSpacing"/>
        <w:spacing w:line="36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The respite provided by a positive overall print for food prices was undone by </w:t>
      </w:r>
      <w:r w:rsidR="00864999">
        <w:rPr>
          <w:rFonts w:ascii="Garamond" w:hAnsi="Garamond"/>
          <w:lang w:val="en-US"/>
        </w:rPr>
        <w:t xml:space="preserve">a 12.7% annualized increase in </w:t>
      </w:r>
      <w:r w:rsidR="00864999" w:rsidRPr="00864999">
        <w:rPr>
          <w:rFonts w:ascii="Garamond" w:hAnsi="Garamond"/>
          <w:b/>
          <w:bCs/>
          <w:lang w:val="en-US"/>
        </w:rPr>
        <w:t>transport</w:t>
      </w:r>
      <w:r w:rsidR="00864999">
        <w:rPr>
          <w:rFonts w:ascii="Garamond" w:hAnsi="Garamond"/>
          <w:lang w:val="en-US"/>
        </w:rPr>
        <w:t xml:space="preserve"> prices. Although petrol prices fell slightly in monthly terms between May and June, fuel and lubricants overall continue to </w:t>
      </w:r>
      <w:r w:rsidR="00E22A3B">
        <w:rPr>
          <w:rFonts w:ascii="Garamond" w:hAnsi="Garamond"/>
          <w:lang w:val="en-US"/>
        </w:rPr>
        <w:t xml:space="preserve">raise prices as global oil supply remains limited as geopolitical tensions persist, while a reduction in the South African government’s fuel levy relief also held petrol and diesel at higher levels. Although other important categories in the CPI basket like </w:t>
      </w:r>
      <w:r w:rsidR="00E22A3B" w:rsidRPr="00546D59">
        <w:rPr>
          <w:rFonts w:ascii="Garamond" w:hAnsi="Garamond"/>
          <w:b/>
          <w:bCs/>
          <w:lang w:val="en-US"/>
        </w:rPr>
        <w:t>housing</w:t>
      </w:r>
      <w:r w:rsidR="00546D59" w:rsidRPr="00546D59">
        <w:rPr>
          <w:rFonts w:ascii="Garamond" w:hAnsi="Garamond"/>
          <w:b/>
          <w:bCs/>
          <w:lang w:val="en-US"/>
        </w:rPr>
        <w:t xml:space="preserve"> and utilities</w:t>
      </w:r>
      <w:r w:rsidR="00B80FF1">
        <w:rPr>
          <w:rFonts w:ascii="Garamond" w:hAnsi="Garamond"/>
          <w:b/>
          <w:bCs/>
          <w:lang w:val="en-US"/>
        </w:rPr>
        <w:t>,</w:t>
      </w:r>
      <w:r w:rsidR="00546D59">
        <w:rPr>
          <w:rFonts w:ascii="Garamond" w:hAnsi="Garamond"/>
          <w:lang w:val="en-US"/>
        </w:rPr>
        <w:t xml:space="preserve"> and </w:t>
      </w:r>
      <w:r w:rsidR="00E22A3B" w:rsidRPr="00E22A3B">
        <w:rPr>
          <w:rFonts w:ascii="Garamond" w:hAnsi="Garamond"/>
          <w:b/>
          <w:bCs/>
          <w:lang w:val="en-US"/>
        </w:rPr>
        <w:t>insurance and financial services</w:t>
      </w:r>
      <w:r w:rsidR="00546D59">
        <w:rPr>
          <w:rFonts w:ascii="Garamond" w:hAnsi="Garamond"/>
          <w:lang w:val="en-US"/>
        </w:rPr>
        <w:t xml:space="preserve"> have also seen accelerating levels of inflation in the second quarter, it has been most dramatic for transport costs, with the increase from 4.89% in April to the most recent figure representing an increase of over 150%. </w:t>
      </w:r>
    </w:p>
    <w:p w14:paraId="4D261DF7" w14:textId="542C6A66" w:rsidR="00546D59" w:rsidRDefault="00546D59" w:rsidP="00546D59">
      <w:pPr>
        <w:pStyle w:val="Heading2"/>
        <w:rPr>
          <w:b w:val="0"/>
          <w:bCs/>
          <w:lang w:val="en-US"/>
        </w:rPr>
      </w:pPr>
      <w:r>
        <w:rPr>
          <w:lang w:val="en-US"/>
        </w:rPr>
        <w:t>Core</w:t>
      </w:r>
      <w:r>
        <w:rPr>
          <w:lang w:val="en-US"/>
        </w:rPr>
        <w:t xml:space="preserve"> Inflation:  </w:t>
      </w:r>
      <w:r>
        <w:rPr>
          <w:b w:val="0"/>
          <w:bCs/>
          <w:lang w:val="en-US"/>
        </w:rPr>
        <w:t>Second-round effects take hold</w:t>
      </w:r>
    </w:p>
    <w:p w14:paraId="11754F3B" w14:textId="77777777" w:rsidR="00B80FF1" w:rsidRDefault="00B80FF1" w:rsidP="00B80FF1">
      <w:pPr>
        <w:rPr>
          <w:lang w:val="en-US"/>
        </w:rPr>
      </w:pPr>
    </w:p>
    <w:p w14:paraId="07E40CE7" w14:textId="1B3D81B7" w:rsidR="007F6A56" w:rsidRDefault="00B80FF1" w:rsidP="00B80FF1">
      <w:pPr>
        <w:rPr>
          <w:rFonts w:ascii="Garamond" w:hAnsi="Garamond"/>
          <w:lang w:val="en-US"/>
        </w:rPr>
      </w:pPr>
      <w:r w:rsidRPr="00B80FF1">
        <w:rPr>
          <w:rFonts w:ascii="Garamond" w:hAnsi="Garamond"/>
          <w:lang w:val="en-US"/>
        </w:rPr>
        <w:t>It has been around five months since the Hormuz Strait was first closed</w:t>
      </w:r>
      <w:r>
        <w:rPr>
          <w:rFonts w:ascii="Garamond" w:hAnsi="Garamond"/>
          <w:lang w:val="en-US"/>
        </w:rPr>
        <w:t xml:space="preserve"> at the end of February 2026, with its effects now beginning to show up in prices downstream from oil</w:t>
      </w:r>
      <w:r w:rsidR="007F6A56">
        <w:rPr>
          <w:rFonts w:ascii="Garamond" w:hAnsi="Garamond"/>
          <w:lang w:val="en-US"/>
        </w:rPr>
        <w:t xml:space="preserve">, with </w:t>
      </w:r>
      <w:r w:rsidRPr="00993468">
        <w:rPr>
          <w:rFonts w:ascii="Garamond" w:hAnsi="Garamond"/>
          <w:b/>
          <w:bCs/>
          <w:lang w:val="en-US"/>
        </w:rPr>
        <w:t>core inflation</w:t>
      </w:r>
      <w:r>
        <w:rPr>
          <w:rFonts w:ascii="Garamond" w:hAnsi="Garamond"/>
          <w:lang w:val="en-US"/>
        </w:rPr>
        <w:t xml:space="preserve"> </w:t>
      </w:r>
      <w:r>
        <w:rPr>
          <w:rFonts w:ascii="Garamond" w:hAnsi="Garamond"/>
          <w:lang w:val="en-US"/>
        </w:rPr>
        <w:lastRenderedPageBreak/>
        <w:t>also surpass</w:t>
      </w:r>
      <w:r w:rsidR="007F6A56">
        <w:rPr>
          <w:rFonts w:ascii="Garamond" w:hAnsi="Garamond"/>
          <w:lang w:val="en-US"/>
        </w:rPr>
        <w:t>ing</w:t>
      </w:r>
      <w:r>
        <w:rPr>
          <w:rFonts w:ascii="Garamond" w:hAnsi="Garamond"/>
          <w:lang w:val="en-US"/>
        </w:rPr>
        <w:t xml:space="preserve"> expectations</w:t>
      </w:r>
      <w:r w:rsidR="007F6A56">
        <w:rPr>
          <w:rFonts w:ascii="Garamond" w:hAnsi="Garamond"/>
          <w:lang w:val="en-US"/>
        </w:rPr>
        <w:t xml:space="preserve"> and creeping above 4% in June. </w:t>
      </w:r>
      <w:r w:rsidR="00993468">
        <w:rPr>
          <w:rFonts w:ascii="Garamond" w:hAnsi="Garamond"/>
          <w:lang w:val="en-US"/>
        </w:rPr>
        <w:t>I</w:t>
      </w:r>
      <w:r w:rsidR="007F6A56">
        <w:rPr>
          <w:rFonts w:ascii="Garamond" w:hAnsi="Garamond"/>
          <w:lang w:val="en-US"/>
        </w:rPr>
        <w:t xml:space="preserve">nflation </w:t>
      </w:r>
      <w:r w:rsidR="00993468">
        <w:rPr>
          <w:rFonts w:ascii="Garamond" w:hAnsi="Garamond"/>
          <w:lang w:val="en-US"/>
        </w:rPr>
        <w:t xml:space="preserve">among </w:t>
      </w:r>
      <w:r w:rsidR="00993468" w:rsidRPr="00993468">
        <w:rPr>
          <w:rFonts w:ascii="Garamond" w:hAnsi="Garamond"/>
          <w:b/>
          <w:bCs/>
          <w:lang w:val="en-US"/>
        </w:rPr>
        <w:t>services</w:t>
      </w:r>
      <w:r w:rsidR="00993468">
        <w:rPr>
          <w:rFonts w:ascii="Garamond" w:hAnsi="Garamond"/>
          <w:lang w:val="en-US"/>
        </w:rPr>
        <w:t xml:space="preserve"> </w:t>
      </w:r>
      <w:r w:rsidR="007F6A56">
        <w:rPr>
          <w:rFonts w:ascii="Garamond" w:hAnsi="Garamond"/>
          <w:lang w:val="en-US"/>
        </w:rPr>
        <w:t xml:space="preserve">of 5.16% and </w:t>
      </w:r>
      <w:r w:rsidR="007F6A56" w:rsidRPr="00993468">
        <w:rPr>
          <w:rFonts w:ascii="Garamond" w:hAnsi="Garamond"/>
          <w:b/>
          <w:bCs/>
          <w:lang w:val="en-US"/>
        </w:rPr>
        <w:t>goods</w:t>
      </w:r>
      <w:r w:rsidR="007F6A56">
        <w:rPr>
          <w:rFonts w:ascii="Garamond" w:hAnsi="Garamond"/>
          <w:lang w:val="en-US"/>
        </w:rPr>
        <w:t xml:space="preserve"> inflation of 4.8% </w:t>
      </w:r>
      <w:r w:rsidR="007F6A56">
        <w:rPr>
          <w:rFonts w:ascii="Garamond" w:hAnsi="Garamond"/>
          <w:lang w:val="en-US"/>
        </w:rPr>
        <w:t xml:space="preserve">(up from 4% </w:t>
      </w:r>
      <w:r w:rsidR="007F6A56">
        <w:rPr>
          <w:rFonts w:ascii="Garamond" w:hAnsi="Garamond"/>
          <w:lang w:val="en-US"/>
        </w:rPr>
        <w:t xml:space="preserve">and 2.7% respectively </w:t>
      </w:r>
      <w:r w:rsidR="007F6A56">
        <w:rPr>
          <w:rFonts w:ascii="Garamond" w:hAnsi="Garamond"/>
          <w:lang w:val="en-US"/>
        </w:rPr>
        <w:t xml:space="preserve">since the start of the year) </w:t>
      </w:r>
      <w:r w:rsidR="007F6A56">
        <w:rPr>
          <w:rFonts w:ascii="Garamond" w:hAnsi="Garamond"/>
          <w:lang w:val="en-US"/>
        </w:rPr>
        <w:t xml:space="preserve">suggest that firms are passing on a greater amount of the increases in costs that have resulted from the fuel price increases. </w:t>
      </w:r>
    </w:p>
    <w:p w14:paraId="02C33E4F" w14:textId="5E5673DE" w:rsidR="007F6A56" w:rsidRDefault="00993468" w:rsidP="00993468">
      <w:pPr>
        <w:pStyle w:val="Heading2"/>
        <w:rPr>
          <w:b w:val="0"/>
          <w:bCs/>
          <w:lang w:val="en-US"/>
        </w:rPr>
      </w:pPr>
      <w:r>
        <w:rPr>
          <w:lang w:val="en-US"/>
        </w:rPr>
        <w:t xml:space="preserve">Outlook: </w:t>
      </w:r>
      <w:r w:rsidR="0072229A">
        <w:rPr>
          <w:b w:val="0"/>
          <w:bCs/>
          <w:lang w:val="en-US"/>
        </w:rPr>
        <w:t>Cautious optimism amid uncertainty</w:t>
      </w:r>
      <w:r w:rsidRPr="00993468">
        <w:rPr>
          <w:b w:val="0"/>
          <w:bCs/>
          <w:lang w:val="en-US"/>
        </w:rPr>
        <w:t xml:space="preserve"> </w:t>
      </w:r>
    </w:p>
    <w:p w14:paraId="1866B8EF" w14:textId="60B91CDB" w:rsidR="00993468" w:rsidRPr="00993468" w:rsidRDefault="00993468" w:rsidP="00993468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Shortly</w:t>
      </w:r>
      <w:r w:rsidRPr="00993468">
        <w:rPr>
          <w:rFonts w:ascii="Garamond" w:hAnsi="Garamond"/>
          <w:lang w:val="en-US"/>
        </w:rPr>
        <w:t xml:space="preserve"> after the MPC</w:t>
      </w:r>
      <w:r>
        <w:rPr>
          <w:rFonts w:ascii="Garamond" w:hAnsi="Garamond"/>
          <w:lang w:val="en-US"/>
        </w:rPr>
        <w:t xml:space="preserve"> announced their</w:t>
      </w:r>
      <w:r w:rsidRPr="00993468">
        <w:rPr>
          <w:rFonts w:ascii="Garamond" w:hAnsi="Garamond"/>
          <w:lang w:val="en-US"/>
        </w:rPr>
        <w:t xml:space="preserve"> decision not to hike rates,</w:t>
      </w:r>
      <w:r>
        <w:rPr>
          <w:rFonts w:ascii="Garamond" w:hAnsi="Garamond"/>
          <w:lang w:val="en-US"/>
        </w:rPr>
        <w:t xml:space="preserve"> the oil price per barrel re-entered triple-digits – a somewhat comical exemplification of the current economic situation. Nevertheless, the Reserve Bank </w:t>
      </w:r>
      <w:r w:rsidR="0072229A">
        <w:rPr>
          <w:rFonts w:ascii="Garamond" w:hAnsi="Garamond"/>
          <w:lang w:val="en-US"/>
        </w:rPr>
        <w:t>foresees headline inflation decelerating in the coming months to 4.3% by the year’s end, a significant downwards revision from the previous MPC meeting’s prediction of 4.8%.</w:t>
      </w:r>
      <w:r w:rsidR="00416B68">
        <w:rPr>
          <w:rFonts w:ascii="Garamond" w:hAnsi="Garamond"/>
          <w:lang w:val="en-US"/>
        </w:rPr>
        <w:t xml:space="preserve"> In his address last week, Governor Lesetja Kganyago acknowledged that a hike remains likely to be a requirement going forward, though the recent decision to hold may compound the uncertainty around the magnitude.  </w:t>
      </w:r>
    </w:p>
    <w:p w14:paraId="2E0A383F" w14:textId="77777777" w:rsidR="00546D59" w:rsidRPr="00993468" w:rsidRDefault="00546D59" w:rsidP="00B80FF1">
      <w:pPr>
        <w:rPr>
          <w:rFonts w:ascii="Garamond" w:hAnsi="Garamond"/>
          <w:lang w:val="en-US"/>
        </w:rPr>
      </w:pPr>
    </w:p>
    <w:p w14:paraId="459EF937" w14:textId="77777777" w:rsidR="00546D59" w:rsidRPr="00993468" w:rsidRDefault="00546D59" w:rsidP="00B80FF1">
      <w:pPr>
        <w:rPr>
          <w:rFonts w:ascii="Garamond" w:hAnsi="Garamond"/>
          <w:lang w:val="en-US"/>
        </w:rPr>
      </w:pPr>
    </w:p>
    <w:p w14:paraId="39B87576" w14:textId="77777777" w:rsidR="00546D59" w:rsidRPr="00993468" w:rsidRDefault="00546D59" w:rsidP="00B80FF1">
      <w:pPr>
        <w:rPr>
          <w:rFonts w:ascii="Garamond" w:hAnsi="Garamond"/>
          <w:lang w:val="en-US"/>
        </w:rPr>
      </w:pPr>
    </w:p>
    <w:p w14:paraId="70962F76" w14:textId="77777777" w:rsidR="00546D59" w:rsidRPr="00993468" w:rsidRDefault="00546D59" w:rsidP="00546D59">
      <w:pPr>
        <w:pStyle w:val="Heading2"/>
        <w:rPr>
          <w:lang w:val="en-US"/>
        </w:rPr>
      </w:pPr>
    </w:p>
    <w:p w14:paraId="0C5C3188" w14:textId="77777777" w:rsidR="00670B1D" w:rsidRPr="00506A6D" w:rsidRDefault="00670B1D">
      <w:pPr>
        <w:rPr>
          <w:rFonts w:ascii="Garamond" w:hAnsi="Garamond"/>
          <w:lang w:val="en-US"/>
        </w:rPr>
      </w:pPr>
    </w:p>
    <w:sectPr w:rsidR="00670B1D" w:rsidRPr="0050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0EA39" w14:textId="77777777" w:rsidR="00EF53CB" w:rsidRDefault="00EF53CB" w:rsidP="00670B1D">
      <w:pPr>
        <w:spacing w:line="240" w:lineRule="auto"/>
      </w:pPr>
      <w:r>
        <w:separator/>
      </w:r>
    </w:p>
  </w:endnote>
  <w:endnote w:type="continuationSeparator" w:id="0">
    <w:p w14:paraId="1B18E82C" w14:textId="77777777" w:rsidR="00EF53CB" w:rsidRDefault="00EF53CB" w:rsidP="0067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8EDD7C" w14:textId="77777777" w:rsidR="00EF53CB" w:rsidRDefault="00EF53CB" w:rsidP="00670B1D">
      <w:pPr>
        <w:spacing w:line="240" w:lineRule="auto"/>
      </w:pPr>
      <w:r>
        <w:separator/>
      </w:r>
    </w:p>
  </w:footnote>
  <w:footnote w:type="continuationSeparator" w:id="0">
    <w:p w14:paraId="0636D1A8" w14:textId="77777777" w:rsidR="00EF53CB" w:rsidRDefault="00EF53CB" w:rsidP="00670B1D">
      <w:pPr>
        <w:spacing w:line="240" w:lineRule="auto"/>
      </w:pPr>
      <w:r>
        <w:continuationSeparator/>
      </w:r>
    </w:p>
  </w:footnote>
  <w:footnote w:id="1">
    <w:p w14:paraId="6CB16729" w14:textId="6D314853" w:rsidR="00670B1D" w:rsidRDefault="00670B1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Core inflation is measured the as CPI excluding food and non-alcoholic beverages, fuel and energy.</w:t>
      </w:r>
    </w:p>
    <w:p w14:paraId="0C0EB80F" w14:textId="77777777" w:rsidR="00670B1D" w:rsidRPr="00670B1D" w:rsidRDefault="00670B1D">
      <w:pPr>
        <w:pStyle w:val="FootnoteText"/>
        <w:rPr>
          <w:lang w:val="en-US"/>
        </w:rPr>
      </w:pP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6D"/>
    <w:rsid w:val="001D09D2"/>
    <w:rsid w:val="002A6B48"/>
    <w:rsid w:val="00416B68"/>
    <w:rsid w:val="004571DB"/>
    <w:rsid w:val="004A26F4"/>
    <w:rsid w:val="00506A6D"/>
    <w:rsid w:val="00546D59"/>
    <w:rsid w:val="00670B1D"/>
    <w:rsid w:val="0072229A"/>
    <w:rsid w:val="00772C21"/>
    <w:rsid w:val="007F1131"/>
    <w:rsid w:val="007F6A56"/>
    <w:rsid w:val="00822B21"/>
    <w:rsid w:val="00855D66"/>
    <w:rsid w:val="00864999"/>
    <w:rsid w:val="008D5274"/>
    <w:rsid w:val="00993468"/>
    <w:rsid w:val="009C4B86"/>
    <w:rsid w:val="00B80FF1"/>
    <w:rsid w:val="00C118FB"/>
    <w:rsid w:val="00CC64C0"/>
    <w:rsid w:val="00E22A3B"/>
    <w:rsid w:val="00E54B83"/>
    <w:rsid w:val="00EC1CE9"/>
    <w:rsid w:val="00E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68FFEC"/>
  <w15:chartTrackingRefBased/>
  <w15:docId w15:val="{4F3760E5-1883-0E43-8802-47F5DF84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DB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FB"/>
    <w:pPr>
      <w:keepNext/>
      <w:keepLines/>
      <w:spacing w:before="160" w:after="80"/>
      <w:outlineLvl w:val="1"/>
    </w:pPr>
    <w:rPr>
      <w:rFonts w:ascii="Garamond" w:eastAsiaTheme="majorEastAsia" w:hAnsi="Garamond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FB"/>
    <w:rPr>
      <w:rFonts w:ascii="Garamond" w:eastAsiaTheme="majorEastAsia" w:hAnsi="Garamond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6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6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6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0B1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0B1D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0B1D"/>
    <w:rPr>
      <w:vertAlign w:val="superscript"/>
    </w:rPr>
  </w:style>
  <w:style w:type="paragraph" w:styleId="NoSpacing">
    <w:name w:val="No Spacing"/>
    <w:uiPriority w:val="1"/>
    <w:qFormat/>
    <w:rsid w:val="00822B21"/>
    <w:pPr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1C9DB9-7002-FF4E-A225-3B9D9A8C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Smuts</dc:creator>
  <cp:keywords/>
  <dc:description/>
  <cp:lastModifiedBy>Jan Smuts</cp:lastModifiedBy>
  <cp:revision>2</cp:revision>
  <dcterms:created xsi:type="dcterms:W3CDTF">2026-07-29T08:41:00Z</dcterms:created>
  <dcterms:modified xsi:type="dcterms:W3CDTF">2026-07-29T14:13:00Z</dcterms:modified>
</cp:coreProperties>
</file>