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EE91" w14:textId="1DAED486" w:rsidR="00E54B83" w:rsidRDefault="009E53BE">
      <w:pPr>
        <w:rPr>
          <w:lang w:val="en-US"/>
        </w:rPr>
      </w:pPr>
      <w:r>
        <w:rPr>
          <w:lang w:val="en-US"/>
        </w:rPr>
        <w:t>Aiyar et al 2014</w:t>
      </w:r>
    </w:p>
    <w:p w14:paraId="61C15D33" w14:textId="77777777" w:rsidR="009E53BE" w:rsidRDefault="009E53BE">
      <w:pPr>
        <w:rPr>
          <w:lang w:val="en-US"/>
        </w:rPr>
      </w:pPr>
    </w:p>
    <w:p w14:paraId="64C3CFE6" w14:textId="4DC48AD0" w:rsidR="009E53BE" w:rsidRDefault="009E53BE">
      <w:pPr>
        <w:rPr>
          <w:lang w:val="en-US"/>
        </w:rPr>
      </w:pPr>
      <w:r>
        <w:rPr>
          <w:lang w:val="en-US"/>
        </w:rPr>
        <w:t>Previous work examines the effect of capital requirements on domestic loan supply. This time authors study the international transmission by studying a sample in which every recipient country has multiple relations with UK-based banks.</w:t>
      </w:r>
    </w:p>
    <w:p w14:paraId="55EA70A4" w14:textId="77777777" w:rsidR="009E53BE" w:rsidRDefault="009E53BE">
      <w:pPr>
        <w:rPr>
          <w:lang w:val="en-US"/>
        </w:rPr>
      </w:pPr>
      <w:r>
        <w:rPr>
          <w:lang w:val="en-US"/>
        </w:rPr>
        <w:t xml:space="preserve">Banks </w:t>
      </w:r>
      <w:proofErr w:type="spellStart"/>
      <w:r>
        <w:rPr>
          <w:lang w:val="en-US"/>
        </w:rPr>
        <w:t>favour</w:t>
      </w:r>
      <w:proofErr w:type="spellEnd"/>
      <w:r>
        <w:rPr>
          <w:lang w:val="en-US"/>
        </w:rPr>
        <w:t xml:space="preserve"> important country relationships st cross-border credit supply response in core countries is significantly less than in others. </w:t>
      </w:r>
    </w:p>
    <w:p w14:paraId="21FEEC9C" w14:textId="4AF249E7" w:rsidR="009E53BE" w:rsidRDefault="009E53BE">
      <w:pPr>
        <w:rPr>
          <w:lang w:val="en-US"/>
        </w:rPr>
      </w:pPr>
      <w:r>
        <w:rPr>
          <w:lang w:val="en-US"/>
        </w:rPr>
        <w:t xml:space="preserve">Banks also cut back cross-border credit to other banks more than firms and households, consistent with shorter maturity wholesale lending. </w:t>
      </w:r>
    </w:p>
    <w:p w14:paraId="35EA9362" w14:textId="77777777" w:rsidR="009E53BE" w:rsidRDefault="009E53BE">
      <w:pPr>
        <w:rPr>
          <w:lang w:val="en-US"/>
        </w:rPr>
      </w:pPr>
    </w:p>
    <w:p w14:paraId="3948E652" w14:textId="4844885B" w:rsidR="009E53BE" w:rsidRDefault="009E53BE">
      <w:pPr>
        <w:rPr>
          <w:lang w:val="en-US"/>
        </w:rPr>
      </w:pPr>
      <w:r>
        <w:rPr>
          <w:lang w:val="en-US"/>
        </w:rPr>
        <w:t>Are changes to capital requirements truly exogenous.</w:t>
      </w:r>
    </w:p>
    <w:p w14:paraId="30226097" w14:textId="77777777" w:rsidR="009E53BE" w:rsidRDefault="009E53BE">
      <w:pPr>
        <w:rPr>
          <w:lang w:val="en-US"/>
        </w:rPr>
      </w:pPr>
    </w:p>
    <w:p w14:paraId="09CA221C" w14:textId="09FBD43D" w:rsidR="00D13178" w:rsidRDefault="00D13178">
      <w:pPr>
        <w:rPr>
          <w:lang w:val="en-US"/>
        </w:rPr>
      </w:pPr>
      <w:r>
        <w:rPr>
          <w:lang w:val="en-US"/>
        </w:rPr>
        <w:t xml:space="preserve">Time-varying capital requirements incentivize building capital buffers in good times. </w:t>
      </w:r>
    </w:p>
    <w:p w14:paraId="1CC8FE92" w14:textId="77777777" w:rsidR="00D13178" w:rsidRDefault="00D13178">
      <w:pPr>
        <w:rPr>
          <w:lang w:val="en-US"/>
        </w:rPr>
      </w:pPr>
    </w:p>
    <w:p w14:paraId="1CDA73A1" w14:textId="7834908E" w:rsidR="00D13178" w:rsidRDefault="00D13178">
      <w:pPr>
        <w:rPr>
          <w:lang w:val="en-US"/>
        </w:rPr>
      </w:pPr>
      <w:r>
        <w:rPr>
          <w:lang w:val="en-US"/>
        </w:rPr>
        <w:t>International credit supply may be amplified by macroprudential coordination.</w:t>
      </w:r>
    </w:p>
    <w:p w14:paraId="2A0EF0F7" w14:textId="77777777" w:rsidR="00D13178" w:rsidRDefault="00D13178">
      <w:pPr>
        <w:rPr>
          <w:lang w:val="en-US"/>
        </w:rPr>
      </w:pPr>
    </w:p>
    <w:p w14:paraId="29AB9B7E" w14:textId="77777777" w:rsidR="00D13178" w:rsidRDefault="00D13178">
      <w:pPr>
        <w:rPr>
          <w:lang w:val="en-US"/>
        </w:rPr>
      </w:pPr>
      <w:r>
        <w:rPr>
          <w:lang w:val="en-US"/>
        </w:rPr>
        <w:t>Reasons for focusing on UK:</w:t>
      </w:r>
    </w:p>
    <w:p w14:paraId="7E072215" w14:textId="46D5B3E4" w:rsidR="00D13178" w:rsidRPr="00D13178" w:rsidRDefault="00D13178" w:rsidP="00D13178">
      <w:pPr>
        <w:pStyle w:val="ListParagraph"/>
        <w:numPr>
          <w:ilvl w:val="0"/>
          <w:numId w:val="1"/>
        </w:numPr>
        <w:rPr>
          <w:lang w:val="en-US"/>
        </w:rPr>
      </w:pPr>
      <w:r w:rsidRPr="00D13178">
        <w:rPr>
          <w:lang w:val="en-US"/>
        </w:rPr>
        <w:t xml:space="preserve">UK-resident banks are typically globalized through affiliates and cross-border commerce. </w:t>
      </w:r>
    </w:p>
    <w:p w14:paraId="38B3050E" w14:textId="5B6F6F29" w:rsidR="00D13178" w:rsidRPr="00D13178" w:rsidRDefault="00D13178" w:rsidP="00D13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1990-2000, the financial </w:t>
      </w:r>
      <w:proofErr w:type="gramStart"/>
      <w:r>
        <w:rPr>
          <w:lang w:val="en-US"/>
        </w:rPr>
        <w:t>services authority imposed</w:t>
      </w:r>
      <w:proofErr w:type="gramEnd"/>
      <w:r>
        <w:rPr>
          <w:lang w:val="en-US"/>
        </w:rPr>
        <w:t xml:space="preserve"> bank-specific time-varying minimum capital requirements. Extent of variation in minimum required risk based capital was large across banks and business cycle moments</w:t>
      </w:r>
    </w:p>
    <w:sectPr w:rsidR="00D13178" w:rsidRPr="00D13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6547"/>
    <w:multiLevelType w:val="hybridMultilevel"/>
    <w:tmpl w:val="B20A9C2A"/>
    <w:lvl w:ilvl="0" w:tplc="9AA8950E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06935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BE"/>
    <w:rsid w:val="001D09D2"/>
    <w:rsid w:val="002A6B48"/>
    <w:rsid w:val="004571DB"/>
    <w:rsid w:val="00855D66"/>
    <w:rsid w:val="009E53BE"/>
    <w:rsid w:val="00D13178"/>
    <w:rsid w:val="00DA6768"/>
    <w:rsid w:val="00E5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E074E6"/>
  <w15:chartTrackingRefBased/>
  <w15:docId w15:val="{E2F47844-0B47-B14B-AE0F-240E73AC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1DB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B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B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Smuts</dc:creator>
  <cp:keywords/>
  <dc:description/>
  <cp:lastModifiedBy>Jan Smuts</cp:lastModifiedBy>
  <cp:revision>1</cp:revision>
  <dcterms:created xsi:type="dcterms:W3CDTF">2026-03-26T10:20:00Z</dcterms:created>
  <dcterms:modified xsi:type="dcterms:W3CDTF">2026-03-26T10:38:00Z</dcterms:modified>
</cp:coreProperties>
</file>