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51465" w14:textId="26E906F5" w:rsidR="00E54B83" w:rsidRDefault="00EC0D10">
      <w:pPr>
        <w:rPr>
          <w:lang w:val="en-US"/>
        </w:rPr>
      </w:pPr>
      <w:r>
        <w:rPr>
          <w:lang w:val="en-US"/>
        </w:rPr>
        <w:t>3 Questions:</w:t>
      </w:r>
    </w:p>
    <w:p w14:paraId="66C183D9" w14:textId="1856246E" w:rsidR="00EC0D10" w:rsidRDefault="00EC0D10" w:rsidP="00F64F1A">
      <w:pPr>
        <w:pStyle w:val="ListParagraph"/>
        <w:numPr>
          <w:ilvl w:val="0"/>
          <w:numId w:val="1"/>
        </w:numPr>
        <w:rPr>
          <w:lang w:val="en-US"/>
        </w:rPr>
      </w:pPr>
      <w:r w:rsidRPr="00F64F1A">
        <w:rPr>
          <w:lang w:val="en-US"/>
        </w:rPr>
        <w:t>Is there a threshold beyond which the further accumulation of net external liabilities raises the risk of external crises? This can be measured by absolute levels across countries, as well as country-specific levels using a treatment effect model with country and time fixed effects</w:t>
      </w:r>
      <w:r w:rsidR="00F64F1A">
        <w:rPr>
          <w:lang w:val="en-US"/>
        </w:rPr>
        <w:t>.</w:t>
      </w:r>
    </w:p>
    <w:p w14:paraId="18FB03F0" w14:textId="4B393D70" w:rsidR="00F64F1A" w:rsidRDefault="00F64F1A" w:rsidP="00F64F1A">
      <w:pPr>
        <w:pStyle w:val="ListParagraph"/>
        <w:numPr>
          <w:ilvl w:val="0"/>
          <w:numId w:val="2"/>
        </w:numPr>
        <w:rPr>
          <w:lang w:val="en-US"/>
        </w:rPr>
      </w:pPr>
      <w:r>
        <w:rPr>
          <w:lang w:val="en-US"/>
        </w:rPr>
        <w:t xml:space="preserve">Crisis risk increases sharply when NFL/GDP ratio exceeds 50% or when ratio rises 20% above historical mean. </w:t>
      </w:r>
    </w:p>
    <w:p w14:paraId="592D19C4" w14:textId="012B3357" w:rsidR="00F64F1A" w:rsidRDefault="00F64F1A" w:rsidP="00F64F1A">
      <w:pPr>
        <w:pStyle w:val="ListParagraph"/>
        <w:numPr>
          <w:ilvl w:val="0"/>
          <w:numId w:val="1"/>
        </w:numPr>
        <w:rPr>
          <w:lang w:val="en-US"/>
        </w:rPr>
      </w:pPr>
      <w:r>
        <w:rPr>
          <w:lang w:val="en-US"/>
        </w:rPr>
        <w:t xml:space="preserve">Does composition of external assets and liabilities matter for crisis risk? Position is broken down into debt, portfolio equity, FDI, reserve and non-reserve assets, which allows for assessing whether high-debt liabilities </w:t>
      </w:r>
      <w:proofErr w:type="gramStart"/>
      <w:r>
        <w:rPr>
          <w:lang w:val="en-US"/>
        </w:rPr>
        <w:t>renders</w:t>
      </w:r>
      <w:proofErr w:type="gramEnd"/>
      <w:r>
        <w:rPr>
          <w:lang w:val="en-US"/>
        </w:rPr>
        <w:t xml:space="preserve"> countries more vulnerable than non-debt liabilities. </w:t>
      </w:r>
    </w:p>
    <w:p w14:paraId="30F05FF3" w14:textId="3823FB69" w:rsidR="00F64F1A" w:rsidRDefault="00F64F1A" w:rsidP="00F64F1A">
      <w:pPr>
        <w:pStyle w:val="ListParagraph"/>
        <w:numPr>
          <w:ilvl w:val="0"/>
          <w:numId w:val="2"/>
        </w:numPr>
        <w:rPr>
          <w:lang w:val="en-US"/>
        </w:rPr>
      </w:pPr>
      <w:r>
        <w:rPr>
          <w:lang w:val="en-US"/>
        </w:rPr>
        <w:t xml:space="preserve">Crisis risk rises as debt composition of liabilities increases. </w:t>
      </w:r>
    </w:p>
    <w:p w14:paraId="238DB9D8" w14:textId="133CB9D6" w:rsidR="00F64F1A" w:rsidRDefault="00F64F1A" w:rsidP="00F64F1A">
      <w:pPr>
        <w:pStyle w:val="ListParagraph"/>
        <w:numPr>
          <w:ilvl w:val="0"/>
          <w:numId w:val="1"/>
        </w:numPr>
        <w:rPr>
          <w:lang w:val="en-US"/>
        </w:rPr>
      </w:pPr>
      <w:r>
        <w:rPr>
          <w:lang w:val="en-US"/>
        </w:rPr>
        <w:t xml:space="preserve">How well can external crises be predicted based on the </w:t>
      </w:r>
      <w:proofErr w:type="gramStart"/>
      <w:r>
        <w:rPr>
          <w:lang w:val="en-US"/>
        </w:rPr>
        <w:t>aforementioned variables</w:t>
      </w:r>
      <w:proofErr w:type="gramEnd"/>
      <w:r>
        <w:rPr>
          <w:lang w:val="en-US"/>
        </w:rPr>
        <w:t xml:space="preserve"> and other controls. </w:t>
      </w:r>
    </w:p>
    <w:p w14:paraId="1BA3B056" w14:textId="0563E416" w:rsidR="00F64F1A" w:rsidRDefault="00F64F1A" w:rsidP="00F64F1A">
      <w:pPr>
        <w:pStyle w:val="ListParagraph"/>
        <w:numPr>
          <w:ilvl w:val="0"/>
          <w:numId w:val="2"/>
        </w:numPr>
        <w:rPr>
          <w:lang w:val="en-US"/>
        </w:rPr>
      </w:pPr>
      <w:r>
        <w:rPr>
          <w:lang w:val="en-US"/>
        </w:rPr>
        <w:t xml:space="preserve">Current account deficits have </w:t>
      </w:r>
      <w:r w:rsidR="00DB7E9B">
        <w:rPr>
          <w:lang w:val="en-US"/>
        </w:rPr>
        <w:t>higher predictive power than any individual regressor. This predictive power is higher for unconditional regressors than for norm-based</w:t>
      </w:r>
    </w:p>
    <w:p w14:paraId="64628D18" w14:textId="77777777" w:rsidR="00DB7E9B" w:rsidRDefault="00DB7E9B" w:rsidP="00DB7E9B">
      <w:pPr>
        <w:rPr>
          <w:lang w:val="en-US"/>
        </w:rPr>
      </w:pPr>
    </w:p>
    <w:p w14:paraId="19E8916C" w14:textId="3B7B4584" w:rsidR="00DB7E9B" w:rsidRDefault="00DB7E9B" w:rsidP="00DB7E9B">
      <w:pPr>
        <w:pStyle w:val="ListParagraph"/>
        <w:numPr>
          <w:ilvl w:val="0"/>
          <w:numId w:val="2"/>
        </w:numPr>
        <w:rPr>
          <w:lang w:val="en-US"/>
        </w:rPr>
      </w:pPr>
      <w:r>
        <w:rPr>
          <w:lang w:val="en-US"/>
        </w:rPr>
        <w:t xml:space="preserve">Higher forex reserves </w:t>
      </w:r>
      <w:proofErr w:type="gramStart"/>
      <w:r>
        <w:rPr>
          <w:lang w:val="en-US"/>
        </w:rPr>
        <w:t>reduces</w:t>
      </w:r>
      <w:proofErr w:type="gramEnd"/>
      <w:r>
        <w:rPr>
          <w:lang w:val="en-US"/>
        </w:rPr>
        <w:t xml:space="preserve"> crisis risk more than asset holdings (higher liquidity?)</w:t>
      </w:r>
    </w:p>
    <w:p w14:paraId="45667AA0" w14:textId="77777777" w:rsidR="00DB7E9B" w:rsidRPr="00DB7E9B" w:rsidRDefault="00DB7E9B" w:rsidP="00DB7E9B">
      <w:pPr>
        <w:pStyle w:val="ListParagraph"/>
        <w:rPr>
          <w:lang w:val="en-US"/>
        </w:rPr>
      </w:pPr>
    </w:p>
    <w:p w14:paraId="7F88FD33" w14:textId="70684332" w:rsidR="00DB7E9B" w:rsidRDefault="00DB7E9B" w:rsidP="00DB7E9B">
      <w:pPr>
        <w:rPr>
          <w:lang w:val="en-US"/>
        </w:rPr>
      </w:pPr>
      <w:r>
        <w:rPr>
          <w:lang w:val="en-US"/>
        </w:rPr>
        <w:t xml:space="preserve">Main contribution is the use of a novel set of controls centered on net foreign assets and their liabilities, and the use of a longer sample on both time-series and cross-sectional dimensions and focus on external crisis in the strict sense. They also focus on emerging as well as advanced economies. </w:t>
      </w:r>
    </w:p>
    <w:p w14:paraId="3260E23F" w14:textId="77777777" w:rsidR="00DB7E9B" w:rsidRDefault="00DB7E9B" w:rsidP="00DB7E9B">
      <w:pPr>
        <w:rPr>
          <w:lang w:val="en-US"/>
        </w:rPr>
      </w:pPr>
    </w:p>
    <w:p w14:paraId="59932CA9" w14:textId="247EF3F8" w:rsidR="00410663" w:rsidRDefault="00410663" w:rsidP="00DB7E9B">
      <w:pPr>
        <w:rPr>
          <w:lang w:val="en-US"/>
        </w:rPr>
      </w:pPr>
      <w:r>
        <w:rPr>
          <w:lang w:val="en-US"/>
        </w:rPr>
        <w:t>II – CRISIS DEFINITION</w:t>
      </w:r>
    </w:p>
    <w:p w14:paraId="4CCD5DAF" w14:textId="77777777" w:rsidR="00A9401C" w:rsidRDefault="00A9401C" w:rsidP="00DB7E9B">
      <w:pPr>
        <w:rPr>
          <w:lang w:val="en-US"/>
        </w:rPr>
      </w:pPr>
      <w:r>
        <w:rPr>
          <w:lang w:val="en-US"/>
        </w:rPr>
        <w:t xml:space="preserve">Baseline definition of crisis: Defaults and rescheduling events as well as events associated with resort to large multilateral/IMF support (IMF loans that are at least twice as large as the country’s quota when all net disbursements are computed from </w:t>
      </w:r>
      <w:proofErr w:type="spellStart"/>
      <w:r>
        <w:rPr>
          <w:lang w:val="en-US"/>
        </w:rPr>
        <w:t>programme’s</w:t>
      </w:r>
      <w:proofErr w:type="spellEnd"/>
      <w:r>
        <w:rPr>
          <w:lang w:val="en-US"/>
        </w:rPr>
        <w:t xml:space="preserve"> inception to end). This definition thus focuses on major external crisis events. </w:t>
      </w:r>
    </w:p>
    <w:p w14:paraId="6FB6B874" w14:textId="58987C8C" w:rsidR="00DB7E9B" w:rsidRDefault="00A9401C" w:rsidP="00DB7E9B">
      <w:pPr>
        <w:rPr>
          <w:lang w:val="en-US"/>
        </w:rPr>
      </w:pPr>
      <w:r>
        <w:rPr>
          <w:lang w:val="en-US"/>
        </w:rPr>
        <w:t xml:space="preserve">These events are also treated as discrete by excluding subsequent ramifications of initial event. Partial repayments/defaults/rescheduling credit events in interim periods are treated as the same event. This leaves a smaller number of </w:t>
      </w:r>
      <w:proofErr w:type="gramStart"/>
      <w:r>
        <w:rPr>
          <w:lang w:val="en-US"/>
        </w:rPr>
        <w:t>default</w:t>
      </w:r>
      <w:proofErr w:type="gramEnd"/>
      <w:r>
        <w:rPr>
          <w:lang w:val="en-US"/>
        </w:rPr>
        <w:t xml:space="preserve"> </w:t>
      </w:r>
      <w:proofErr w:type="gramStart"/>
      <w:r>
        <w:rPr>
          <w:lang w:val="en-US"/>
        </w:rPr>
        <w:t>observations, but</w:t>
      </w:r>
      <w:proofErr w:type="gramEnd"/>
      <w:r>
        <w:rPr>
          <w:lang w:val="en-US"/>
        </w:rPr>
        <w:t xml:space="preserve"> is consistent with the conception of the debt crisis as a major event </w:t>
      </w:r>
      <w:r w:rsidR="00B3529B">
        <w:rPr>
          <w:lang w:val="en-US"/>
        </w:rPr>
        <w:t xml:space="preserve">with long-lasting consequences. </w:t>
      </w:r>
    </w:p>
    <w:p w14:paraId="246B367A" w14:textId="78059DDB" w:rsidR="00B3529B" w:rsidRDefault="00B3529B" w:rsidP="00DB7E9B">
      <w:pPr>
        <w:rPr>
          <w:lang w:val="en-US"/>
        </w:rPr>
      </w:pPr>
      <w:r>
        <w:rPr>
          <w:lang w:val="en-US"/>
        </w:rPr>
        <w:lastRenderedPageBreak/>
        <w:t xml:space="preserve">Excluding the period between initial default and market re-entry mitigates estimation bias from feedback effects of crises into explanatory variables and makes crises more comparable by eliminating smaller events. </w:t>
      </w:r>
    </w:p>
    <w:p w14:paraId="4D3FEFEA" w14:textId="77777777" w:rsidR="00B3529B" w:rsidRDefault="00B3529B" w:rsidP="00DB7E9B">
      <w:pPr>
        <w:rPr>
          <w:lang w:val="en-US"/>
        </w:rPr>
      </w:pPr>
    </w:p>
    <w:p w14:paraId="41E8F72C" w14:textId="29BCB036" w:rsidR="00B3529B" w:rsidRDefault="00B3529B" w:rsidP="00DB7E9B">
      <w:pPr>
        <w:rPr>
          <w:lang w:val="en-US"/>
        </w:rPr>
      </w:pPr>
      <w:r>
        <w:rPr>
          <w:lang w:val="en-US"/>
        </w:rPr>
        <w:t xml:space="preserve">Market re-entry occurs either when S&amp;P 500 classifies default to have ended or if obligations to IMF are below 200% of quota or if remaining above 200%, declines over 2 consecutive years. </w:t>
      </w:r>
    </w:p>
    <w:p w14:paraId="6B82D1A1" w14:textId="77777777" w:rsidR="00B3529B" w:rsidRDefault="00B3529B" w:rsidP="00DB7E9B">
      <w:pPr>
        <w:rPr>
          <w:lang w:val="en-US"/>
        </w:rPr>
      </w:pPr>
    </w:p>
    <w:p w14:paraId="64C66F4F" w14:textId="3AB2E716" w:rsidR="00B3529B" w:rsidRDefault="00B3529B" w:rsidP="00DB7E9B">
      <w:pPr>
        <w:rPr>
          <w:lang w:val="en-US"/>
        </w:rPr>
      </w:pPr>
      <w:r>
        <w:rPr>
          <w:lang w:val="en-US"/>
        </w:rPr>
        <w:t xml:space="preserve">III </w:t>
      </w:r>
      <w:r w:rsidR="00410663">
        <w:rPr>
          <w:lang w:val="en-US"/>
        </w:rPr>
        <w:t>–</w:t>
      </w:r>
      <w:r>
        <w:rPr>
          <w:lang w:val="en-US"/>
        </w:rPr>
        <w:t xml:space="preserve"> </w:t>
      </w:r>
      <w:r w:rsidR="00410663">
        <w:rPr>
          <w:lang w:val="en-US"/>
        </w:rPr>
        <w:t>CRISIS DYNAMICS AND MODEL-FREE THRESHOLD EVENTS</w:t>
      </w:r>
    </w:p>
    <w:p w14:paraId="116F6339" w14:textId="77777777" w:rsidR="00410663" w:rsidRDefault="00410663" w:rsidP="00DB7E9B">
      <w:pPr>
        <w:rPr>
          <w:lang w:val="en-US"/>
        </w:rPr>
      </w:pPr>
    </w:p>
    <w:p w14:paraId="5DEC6E44" w14:textId="4E384826" w:rsidR="00410663" w:rsidRDefault="00410663" w:rsidP="00DB7E9B">
      <w:pPr>
        <w:rPr>
          <w:lang w:val="en-US"/>
        </w:rPr>
      </w:pPr>
      <w:r>
        <w:rPr>
          <w:lang w:val="en-US"/>
        </w:rPr>
        <w:t xml:space="preserve">Calculate average of series of variables over each external crisis episode. Averages are computed over an 11-year window centered on the crisis and spanning 5 years before and after the crisis. </w:t>
      </w:r>
    </w:p>
    <w:p w14:paraId="3D80F2E6" w14:textId="07C669F3" w:rsidR="00410663" w:rsidRDefault="00410663" w:rsidP="00DB7E9B">
      <w:pPr>
        <w:rPr>
          <w:lang w:val="en-US"/>
        </w:rPr>
      </w:pPr>
      <w:r>
        <w:rPr>
          <w:lang w:val="en-US"/>
        </w:rPr>
        <w:t xml:space="preserve">To assess the predictive power, the authors also assess whether these averages are </w:t>
      </w:r>
      <w:proofErr w:type="gramStart"/>
      <w:r>
        <w:rPr>
          <w:lang w:val="en-US"/>
        </w:rPr>
        <w:t>similar to</w:t>
      </w:r>
      <w:proofErr w:type="gramEnd"/>
      <w:r>
        <w:rPr>
          <w:lang w:val="en-US"/>
        </w:rPr>
        <w:t xml:space="preserve"> the post-2007 sample. </w:t>
      </w:r>
    </w:p>
    <w:p w14:paraId="326C057F" w14:textId="77777777" w:rsidR="00410663" w:rsidRDefault="00410663" w:rsidP="00DB7E9B">
      <w:pPr>
        <w:rPr>
          <w:lang w:val="en-US"/>
        </w:rPr>
      </w:pPr>
    </w:p>
    <w:p w14:paraId="3F161BE0" w14:textId="2AFA29F6" w:rsidR="00410663" w:rsidRDefault="00410663" w:rsidP="00DB7E9B">
      <w:pPr>
        <w:rPr>
          <w:lang w:val="en-US"/>
        </w:rPr>
      </w:pPr>
      <w:r>
        <w:rPr>
          <w:lang w:val="en-US"/>
        </w:rPr>
        <w:t xml:space="preserve">Assess statistical significance controlling for fixed effects to assess whether relative performance is important. </w:t>
      </w:r>
    </w:p>
    <w:p w14:paraId="1FECF1E8" w14:textId="77777777" w:rsidR="00424A5E" w:rsidRDefault="00424A5E" w:rsidP="00DB7E9B">
      <w:pPr>
        <w:rPr>
          <w:lang w:val="en-US"/>
        </w:rPr>
      </w:pPr>
    </w:p>
    <w:p w14:paraId="55B7B042" w14:textId="4D9DF516" w:rsidR="00424A5E" w:rsidRDefault="00424A5E" w:rsidP="00DB7E9B">
      <w:pPr>
        <w:rPr>
          <w:lang w:val="en-US"/>
        </w:rPr>
      </w:pPr>
      <w:r>
        <w:rPr>
          <w:lang w:val="en-US"/>
        </w:rPr>
        <w:t xml:space="preserve">Deterioration of </w:t>
      </w:r>
      <w:r w:rsidR="000260A5">
        <w:rPr>
          <w:lang w:val="en-US"/>
        </w:rPr>
        <w:t xml:space="preserve">foreign debt position [debt assets (portfolio debt securities, other investments, FX) less debt liabilities] is typically sizeable in the run-up to a crisis. </w:t>
      </w:r>
    </w:p>
    <w:p w14:paraId="2EBF32F1" w14:textId="76271687" w:rsidR="000260A5" w:rsidRDefault="000260A5" w:rsidP="00DB7E9B">
      <w:pPr>
        <w:rPr>
          <w:lang w:val="en-US"/>
        </w:rPr>
      </w:pPr>
      <w:r>
        <w:rPr>
          <w:lang w:val="en-US"/>
        </w:rPr>
        <w:t xml:space="preserve">Dynamics of net portfolio equity </w:t>
      </w:r>
      <w:proofErr w:type="gramStart"/>
      <w:r>
        <w:rPr>
          <w:lang w:val="en-US"/>
        </w:rPr>
        <w:t>position ,</w:t>
      </w:r>
      <w:proofErr w:type="gramEnd"/>
      <w:r>
        <w:rPr>
          <w:lang w:val="en-US"/>
        </w:rPr>
        <w:t xml:space="preserve"> net FDI and net FX reserves are mixed. </w:t>
      </w:r>
    </w:p>
    <w:p w14:paraId="6DAE0515" w14:textId="77777777" w:rsidR="000260A5" w:rsidRDefault="000260A5" w:rsidP="00DB7E9B">
      <w:pPr>
        <w:rPr>
          <w:lang w:val="en-US"/>
        </w:rPr>
      </w:pPr>
    </w:p>
    <w:p w14:paraId="241266A3" w14:textId="0D839397" w:rsidR="000260A5" w:rsidRDefault="000260A5" w:rsidP="00DB7E9B">
      <w:pPr>
        <w:rPr>
          <w:lang w:val="en-US"/>
        </w:rPr>
      </w:pPr>
      <w:r>
        <w:rPr>
          <w:lang w:val="en-US"/>
        </w:rPr>
        <w:t xml:space="preserve">Portfolio equity value was driven up between 2004-2007, diluting its correlation with crises after 2007. </w:t>
      </w:r>
    </w:p>
    <w:p w14:paraId="23B7EC7B" w14:textId="77777777" w:rsidR="000260A5" w:rsidRDefault="000260A5" w:rsidP="00DB7E9B">
      <w:pPr>
        <w:rPr>
          <w:lang w:val="en-US"/>
        </w:rPr>
      </w:pPr>
    </w:p>
    <w:p w14:paraId="01B8A708" w14:textId="0CE88196" w:rsidR="000260A5" w:rsidRDefault="000260A5" w:rsidP="00DB7E9B">
      <w:pPr>
        <w:rPr>
          <w:lang w:val="en-US"/>
        </w:rPr>
      </w:pPr>
      <w:r>
        <w:rPr>
          <w:lang w:val="en-US"/>
        </w:rPr>
        <w:t>Crises are often preceded by a rapid deterioration in the current account</w:t>
      </w:r>
      <w:r w:rsidR="006C003E">
        <w:rPr>
          <w:lang w:val="en-US"/>
        </w:rPr>
        <w:t xml:space="preserve"> deficit. </w:t>
      </w:r>
    </w:p>
    <w:p w14:paraId="5495E8AB" w14:textId="77777777" w:rsidR="006C003E" w:rsidRDefault="006C003E" w:rsidP="00DB7E9B">
      <w:pPr>
        <w:rPr>
          <w:lang w:val="en-US"/>
        </w:rPr>
      </w:pPr>
    </w:p>
    <w:p w14:paraId="5CFA2214" w14:textId="69E68E69" w:rsidR="006C003E" w:rsidRDefault="006C003E" w:rsidP="00DB7E9B">
      <w:pPr>
        <w:rPr>
          <w:lang w:val="en-US"/>
        </w:rPr>
      </w:pPr>
      <w:r>
        <w:rPr>
          <w:lang w:val="en-US"/>
        </w:rPr>
        <w:t xml:space="preserve">Current account gap = residual of a regression of the current account on its medium-term determinants. </w:t>
      </w:r>
    </w:p>
    <w:p w14:paraId="021DEDC2" w14:textId="77777777" w:rsidR="006C003E" w:rsidRDefault="006C003E" w:rsidP="00DB7E9B">
      <w:pPr>
        <w:rPr>
          <w:lang w:val="en-US"/>
        </w:rPr>
      </w:pPr>
    </w:p>
    <w:p w14:paraId="3EE0A1AA" w14:textId="507D8134" w:rsidR="006C003E" w:rsidRDefault="006C003E" w:rsidP="00DB7E9B">
      <w:pPr>
        <w:rPr>
          <w:lang w:val="en-US"/>
        </w:rPr>
      </w:pPr>
      <w:r>
        <w:rPr>
          <w:lang w:val="en-US"/>
        </w:rPr>
        <w:t>REER gap = difference between current REER and 5-year moving average. Large REER appreciations can lead to reversals due to reversal of hedging positions</w:t>
      </w:r>
    </w:p>
    <w:p w14:paraId="36B411D0" w14:textId="77777777" w:rsidR="006C003E" w:rsidRDefault="006C003E" w:rsidP="00DB7E9B">
      <w:pPr>
        <w:rPr>
          <w:lang w:val="en-US"/>
        </w:rPr>
      </w:pPr>
    </w:p>
    <w:p w14:paraId="7B95C518" w14:textId="643CDB23" w:rsidR="00434D2A" w:rsidRDefault="00434D2A" w:rsidP="00DB7E9B">
      <w:pPr>
        <w:rPr>
          <w:lang w:val="en-US"/>
        </w:rPr>
      </w:pPr>
      <w:r>
        <w:rPr>
          <w:lang w:val="en-US"/>
        </w:rPr>
        <w:lastRenderedPageBreak/>
        <w:t xml:space="preserve">Global financial conditions (VIX and interest rate spread) seem to be important determinants in the </w:t>
      </w:r>
      <w:r w:rsidR="00054568">
        <w:rPr>
          <w:lang w:val="en-US"/>
        </w:rPr>
        <w:t>post-</w:t>
      </w:r>
      <w:r>
        <w:rPr>
          <w:lang w:val="en-US"/>
        </w:rPr>
        <w:t>2007</w:t>
      </w:r>
      <w:r w:rsidR="00054568">
        <w:rPr>
          <w:lang w:val="en-US"/>
        </w:rPr>
        <w:t xml:space="preserve"> sample. </w:t>
      </w:r>
    </w:p>
    <w:p w14:paraId="2853F1E5" w14:textId="77777777" w:rsidR="00054568" w:rsidRDefault="00054568" w:rsidP="00DB7E9B">
      <w:pPr>
        <w:rPr>
          <w:lang w:val="en-US"/>
        </w:rPr>
      </w:pPr>
    </w:p>
    <w:p w14:paraId="6BE0EE2A" w14:textId="076C2F72" w:rsidR="00054568" w:rsidRDefault="00054568" w:rsidP="00DB7E9B">
      <w:pPr>
        <w:rPr>
          <w:lang w:val="en-US"/>
        </w:rPr>
      </w:pPr>
      <w:r>
        <w:rPr>
          <w:lang w:val="en-US"/>
        </w:rPr>
        <w:t xml:space="preserve">Using averages does not address differential </w:t>
      </w:r>
      <w:proofErr w:type="spellStart"/>
      <w:r>
        <w:rPr>
          <w:lang w:val="en-US"/>
        </w:rPr>
        <w:t>behaviour</w:t>
      </w:r>
      <w:proofErr w:type="spellEnd"/>
      <w:r>
        <w:rPr>
          <w:lang w:val="en-US"/>
        </w:rPr>
        <w:t xml:space="preserve"> between crisis and tranquil times. This is addressed in eq (1) where the beta measures how proximity to crisis changes the </w:t>
      </w:r>
      <w:proofErr w:type="spellStart"/>
      <w:r>
        <w:rPr>
          <w:lang w:val="en-US"/>
        </w:rPr>
        <w:t>behaviour</w:t>
      </w:r>
      <w:proofErr w:type="spellEnd"/>
      <w:r>
        <w:rPr>
          <w:lang w:val="en-US"/>
        </w:rPr>
        <w:t xml:space="preserve"> of variable y within an 11-year window center of the year of the crisis. First 2 terms </w:t>
      </w:r>
      <w:proofErr w:type="spellStart"/>
      <w:r>
        <w:rPr>
          <w:lang w:val="en-US"/>
        </w:rPr>
        <w:t>captire</w:t>
      </w:r>
      <w:proofErr w:type="spellEnd"/>
      <w:r>
        <w:rPr>
          <w:lang w:val="en-US"/>
        </w:rPr>
        <w:t xml:space="preserve"> country and global (time) fixed effects, thus betas gauge how much a rise/fall in variable affect crisis risk relative to country and global mean</w:t>
      </w:r>
      <w:r w:rsidR="002279D0">
        <w:rPr>
          <w:lang w:val="en-US"/>
        </w:rPr>
        <w:t xml:space="preserve">. </w:t>
      </w:r>
    </w:p>
    <w:p w14:paraId="21D38858" w14:textId="77777777" w:rsidR="002279D0" w:rsidRDefault="002279D0" w:rsidP="00DB7E9B">
      <w:pPr>
        <w:rPr>
          <w:lang w:val="en-US"/>
        </w:rPr>
      </w:pPr>
    </w:p>
    <w:p w14:paraId="7D61C9D5" w14:textId="788590C6" w:rsidR="002279D0" w:rsidRDefault="002279D0" w:rsidP="00DB7E9B">
      <w:pPr>
        <w:rPr>
          <w:lang w:val="en-US"/>
        </w:rPr>
      </w:pPr>
      <w:r>
        <w:rPr>
          <w:lang w:val="en-US"/>
        </w:rPr>
        <w:t xml:space="preserve">External crises have been associated with NFA/GDP ratios between 15 and 20% below the mean and declining in the run up to the crisis. Effect is largely due to a reduction in net debt assets through accumulation of debt. </w:t>
      </w:r>
    </w:p>
    <w:p w14:paraId="78B353D7" w14:textId="34440C08" w:rsidR="002279D0" w:rsidRDefault="002279D0" w:rsidP="00DB7E9B">
      <w:pPr>
        <w:rPr>
          <w:lang w:val="en-US"/>
        </w:rPr>
      </w:pPr>
      <w:r>
        <w:rPr>
          <w:lang w:val="en-US"/>
        </w:rPr>
        <w:t>Crises tend to occur in countries with reserves lower than mean by 2% of GDP and current account deficits around 3% of GDP larger than country specific/global mean and deteriorating</w:t>
      </w:r>
    </w:p>
    <w:p w14:paraId="13B2A305" w14:textId="77777777" w:rsidR="006C003E" w:rsidRDefault="006C003E" w:rsidP="00DB7E9B">
      <w:pPr>
        <w:rPr>
          <w:lang w:val="en-US"/>
        </w:rPr>
      </w:pPr>
    </w:p>
    <w:p w14:paraId="6DB2AD85" w14:textId="4A46840F" w:rsidR="00B96B77" w:rsidRDefault="00B96B77" w:rsidP="00B96B77">
      <w:pPr>
        <w:rPr>
          <w:lang w:val="en-US"/>
        </w:rPr>
      </w:pPr>
      <w:r>
        <w:rPr>
          <w:lang w:val="en-US"/>
        </w:rPr>
        <w:t>IV – CRISIS MODEL</w:t>
      </w:r>
    </w:p>
    <w:p w14:paraId="08F66EC0" w14:textId="77777777" w:rsidR="00B96B77" w:rsidRDefault="00B96B77" w:rsidP="00B96B77">
      <w:pPr>
        <w:rPr>
          <w:lang w:val="en-US"/>
        </w:rPr>
      </w:pPr>
    </w:p>
    <w:p w14:paraId="2B7E595D" w14:textId="5BEE78BF" w:rsidR="00B96B77" w:rsidRDefault="00B96B77" w:rsidP="00B96B77">
      <w:pPr>
        <w:rPr>
          <w:lang w:val="en-US"/>
        </w:rPr>
      </w:pPr>
      <w:r>
        <w:rPr>
          <w:lang w:val="en-US"/>
        </w:rPr>
        <w:t xml:space="preserve">Analyses how far NFL positions and their composition matter in determining crisis probabilities in a broad multivariate context through </w:t>
      </w:r>
      <w:r w:rsidR="00117B63">
        <w:rPr>
          <w:lang w:val="en-US"/>
        </w:rPr>
        <w:t xml:space="preserve">parsimonious </w:t>
      </w:r>
      <w:r>
        <w:rPr>
          <w:lang w:val="en-US"/>
        </w:rPr>
        <w:t xml:space="preserve">logit/probit </w:t>
      </w:r>
      <w:r w:rsidR="00117B63">
        <w:rPr>
          <w:lang w:val="en-US"/>
        </w:rPr>
        <w:t>models. Assess receiver operating characteristic curve as a selection tool which plots the fraction of true positives (crisis = 1) that a given model signals (out of all the positives in the sample) vs the fraction of false positive signals (out of all the negatives in the sample), where the best model is the one that delivers the highest trade-off frontier between true and false alarms.</w:t>
      </w:r>
      <w:r w:rsidR="000C6539">
        <w:rPr>
          <w:lang w:val="en-US"/>
        </w:rPr>
        <w:t xml:space="preserve"> Distinct models deliver distinct ROC curve and the best overall is the one that delivers the highest area under the curve. The 45deg line shows the true vs false positive tradeoff under random guessing</w:t>
      </w:r>
      <w:r w:rsidR="002E622B">
        <w:rPr>
          <w:lang w:val="en-US"/>
        </w:rPr>
        <w:t xml:space="preserve">. </w:t>
      </w:r>
    </w:p>
    <w:p w14:paraId="696BC7A6" w14:textId="77777777" w:rsidR="002E622B" w:rsidRDefault="002E622B" w:rsidP="00B96B77">
      <w:pPr>
        <w:rPr>
          <w:lang w:val="en-US"/>
        </w:rPr>
      </w:pPr>
    </w:p>
    <w:p w14:paraId="65E10097" w14:textId="1A6ED384" w:rsidR="002E622B" w:rsidRDefault="002E622B" w:rsidP="00B96B77">
      <w:pPr>
        <w:rPr>
          <w:lang w:val="en-US"/>
        </w:rPr>
      </w:pPr>
      <w:r>
        <w:rPr>
          <w:lang w:val="en-US"/>
        </w:rPr>
        <w:t>All explanatory variables are lagged one year to mitigate endogeneity bias. This delivers an ROC of 0.73, much better than simple guesswork</w:t>
      </w:r>
      <w:r w:rsidR="00E10EEA">
        <w:rPr>
          <w:lang w:val="en-US"/>
        </w:rPr>
        <w:t xml:space="preserve">. When disaggregating debt and equity model </w:t>
      </w:r>
      <w:proofErr w:type="spellStart"/>
      <w:r w:rsidR="00E10EEA">
        <w:rPr>
          <w:lang w:val="en-US"/>
        </w:rPr>
        <w:t>improces</w:t>
      </w:r>
      <w:proofErr w:type="spellEnd"/>
      <w:r w:rsidR="00E10EEA">
        <w:rPr>
          <w:lang w:val="en-US"/>
        </w:rPr>
        <w:t xml:space="preserve"> to .75 and adding reserves </w:t>
      </w:r>
    </w:p>
    <w:p w14:paraId="54495AD0" w14:textId="23304591" w:rsidR="00E10EEA" w:rsidRDefault="00E10EEA" w:rsidP="00B96B77">
      <w:pPr>
        <w:rPr>
          <w:lang w:val="en-US"/>
        </w:rPr>
      </w:pPr>
      <w:r>
        <w:rPr>
          <w:lang w:val="en-US"/>
        </w:rPr>
        <w:t>For highly negative NFA</w:t>
      </w:r>
    </w:p>
    <w:p w14:paraId="42596B42" w14:textId="77777777" w:rsidR="002E622B" w:rsidRDefault="002E622B" w:rsidP="00B96B77">
      <w:pPr>
        <w:rPr>
          <w:lang w:val="en-US"/>
        </w:rPr>
      </w:pPr>
    </w:p>
    <w:p w14:paraId="43F8AC5D" w14:textId="1003259F" w:rsidR="002E622B" w:rsidRDefault="00912B4A" w:rsidP="00B96B77">
      <w:pPr>
        <w:rPr>
          <w:lang w:val="en-US"/>
        </w:rPr>
      </w:pPr>
      <w:r>
        <w:rPr>
          <w:lang w:val="en-US"/>
        </w:rPr>
        <w:lastRenderedPageBreak/>
        <w:t xml:space="preserve">In table 3: a 1 </w:t>
      </w:r>
      <w:proofErr w:type="spellStart"/>
      <w:r>
        <w:rPr>
          <w:lang w:val="en-US"/>
        </w:rPr>
        <w:t>sd</w:t>
      </w:r>
      <w:proofErr w:type="spellEnd"/>
      <w:r>
        <w:rPr>
          <w:lang w:val="en-US"/>
        </w:rPr>
        <w:t xml:space="preserve"> deviation rise in debt to </w:t>
      </w:r>
      <w:proofErr w:type="spellStart"/>
      <w:r>
        <w:rPr>
          <w:lang w:val="en-US"/>
        </w:rPr>
        <w:t>gdp</w:t>
      </w:r>
      <w:proofErr w:type="spellEnd"/>
      <w:r>
        <w:rPr>
          <w:lang w:val="en-US"/>
        </w:rPr>
        <w:t xml:space="preserve"> (equal to 20% pts) increases the crisis probability by 6% (this is a pretty big swing in debt to </w:t>
      </w:r>
      <w:proofErr w:type="spellStart"/>
      <w:r>
        <w:rPr>
          <w:lang w:val="en-US"/>
        </w:rPr>
        <w:t>gdp</w:t>
      </w:r>
      <w:proofErr w:type="spellEnd"/>
      <w:r>
        <w:rPr>
          <w:lang w:val="en-US"/>
        </w:rPr>
        <w:t xml:space="preserve">), while a 1 </w:t>
      </w:r>
      <w:proofErr w:type="spellStart"/>
      <w:r>
        <w:rPr>
          <w:lang w:val="en-US"/>
        </w:rPr>
        <w:t>sd</w:t>
      </w:r>
      <w:proofErr w:type="spellEnd"/>
      <w:r>
        <w:rPr>
          <w:lang w:val="en-US"/>
        </w:rPr>
        <w:t xml:space="preserve"> rise in the current account deficit increases risk by 10%.</w:t>
      </w:r>
    </w:p>
    <w:p w14:paraId="66390AC8" w14:textId="77777777" w:rsidR="00912B4A" w:rsidRDefault="00912B4A" w:rsidP="00B96B77">
      <w:pPr>
        <w:rPr>
          <w:lang w:val="en-US"/>
        </w:rPr>
      </w:pPr>
    </w:p>
    <w:p w14:paraId="2F0FA3BE" w14:textId="62D9E65F" w:rsidR="00912B4A" w:rsidRDefault="00912B4A" w:rsidP="00B96B77">
      <w:pPr>
        <w:rPr>
          <w:lang w:val="en-US"/>
        </w:rPr>
      </w:pPr>
      <w:r>
        <w:rPr>
          <w:lang w:val="en-US"/>
        </w:rPr>
        <w:t xml:space="preserve">Increasing bank reserves as precaution decreases chances of crisis. </w:t>
      </w:r>
    </w:p>
    <w:p w14:paraId="11C50F0E" w14:textId="77777777" w:rsidR="00912B4A" w:rsidRDefault="00912B4A" w:rsidP="00B96B77">
      <w:pPr>
        <w:rPr>
          <w:lang w:val="en-US"/>
        </w:rPr>
      </w:pPr>
    </w:p>
    <w:p w14:paraId="43CF9AE3" w14:textId="3D0E66F3" w:rsidR="00912B4A" w:rsidRDefault="00912B4A" w:rsidP="00B96B77">
      <w:pPr>
        <w:rPr>
          <w:lang w:val="en-US"/>
        </w:rPr>
      </w:pPr>
      <w:r>
        <w:rPr>
          <w:lang w:val="en-US"/>
        </w:rPr>
        <w:t>NFA/GDP ratio of -49% is found as a threshold value.</w:t>
      </w:r>
    </w:p>
    <w:p w14:paraId="7865F229" w14:textId="77777777" w:rsidR="00912B4A" w:rsidRDefault="00912B4A" w:rsidP="00B96B77">
      <w:pPr>
        <w:rPr>
          <w:lang w:val="en-US"/>
        </w:rPr>
      </w:pPr>
    </w:p>
    <w:p w14:paraId="2C231726" w14:textId="77777777" w:rsidR="001F1212" w:rsidRDefault="001F1212" w:rsidP="00B96B77">
      <w:pPr>
        <w:rPr>
          <w:lang w:val="en-US"/>
        </w:rPr>
      </w:pPr>
    </w:p>
    <w:p w14:paraId="6709BC45" w14:textId="48E756D6" w:rsidR="001F1212" w:rsidRDefault="001F1212" w:rsidP="00B96B77">
      <w:pPr>
        <w:rPr>
          <w:lang w:val="en-US"/>
        </w:rPr>
      </w:pPr>
      <w:r>
        <w:rPr>
          <w:lang w:val="en-US"/>
        </w:rPr>
        <w:t>Robustness Checks:</w:t>
      </w:r>
    </w:p>
    <w:p w14:paraId="596AD849" w14:textId="77777777" w:rsidR="001F1212" w:rsidRDefault="001F1212" w:rsidP="00B96B77">
      <w:pPr>
        <w:rPr>
          <w:lang w:val="en-US"/>
        </w:rPr>
      </w:pPr>
    </w:p>
    <w:p w14:paraId="22438350" w14:textId="2BF12E38" w:rsidR="00912B4A" w:rsidRDefault="00912B4A" w:rsidP="00B96B77">
      <w:pPr>
        <w:rPr>
          <w:lang w:val="en-US"/>
        </w:rPr>
      </w:pPr>
      <w:r>
        <w:rPr>
          <w:lang w:val="en-US"/>
        </w:rPr>
        <w:t>Current account gap (deviations from the norm</w:t>
      </w:r>
      <w:r w:rsidR="001F1212">
        <w:rPr>
          <w:lang w:val="en-US"/>
        </w:rPr>
        <w:t xml:space="preserve"> based on fundamentals</w:t>
      </w:r>
      <w:r>
        <w:rPr>
          <w:lang w:val="en-US"/>
        </w:rPr>
        <w:t>) is found to be highly colinear with unconditional current account</w:t>
      </w:r>
      <w:r w:rsidR="001F1212">
        <w:rPr>
          <w:lang w:val="en-US"/>
        </w:rPr>
        <w:t xml:space="preserve">, but this may be due to difficulties estimating the long run norm or because of the asymmetrical effect that current account deviations have on crisis risk: countries with a positive current account balance may well have a current account gap which is negative, yet a country with a negative CA gap can have a positive account. The latter will be less vulnerable to a crisis than a country with a negative CA gap </w:t>
      </w:r>
      <w:proofErr w:type="spellStart"/>
      <w:r w:rsidR="001F1212">
        <w:rPr>
          <w:lang w:val="en-US"/>
        </w:rPr>
        <w:t>anfda</w:t>
      </w:r>
      <w:proofErr w:type="spellEnd"/>
      <w:r w:rsidR="001F1212">
        <w:rPr>
          <w:lang w:val="en-US"/>
        </w:rPr>
        <w:t xml:space="preserve"> negative actual balance.</w:t>
      </w:r>
    </w:p>
    <w:p w14:paraId="7675AD3B" w14:textId="70B84CE8" w:rsidR="001F1212" w:rsidRDefault="001F1212" w:rsidP="00B96B77">
      <w:pPr>
        <w:rPr>
          <w:lang w:val="en-US"/>
        </w:rPr>
      </w:pPr>
      <w:r>
        <w:rPr>
          <w:lang w:val="en-US"/>
        </w:rPr>
        <w:t>(TOP OF PG 19)</w:t>
      </w:r>
    </w:p>
    <w:p w14:paraId="54142CD1" w14:textId="77777777" w:rsidR="001F1212" w:rsidRDefault="001F1212" w:rsidP="00B96B77">
      <w:pPr>
        <w:rPr>
          <w:lang w:val="en-US"/>
        </w:rPr>
      </w:pPr>
    </w:p>
    <w:p w14:paraId="437D4C4D" w14:textId="1043E65C" w:rsidR="001F1212" w:rsidRDefault="001F1212" w:rsidP="00B96B77">
      <w:pPr>
        <w:rPr>
          <w:lang w:val="en-US"/>
        </w:rPr>
      </w:pPr>
      <w:r>
        <w:rPr>
          <w:lang w:val="en-US"/>
        </w:rPr>
        <w:t xml:space="preserve">Adding general govt debt to GDP ratio to proximate private and public debt balance (which is reported to contribute to </w:t>
      </w:r>
      <w:proofErr w:type="gramStart"/>
      <w:r>
        <w:rPr>
          <w:lang w:val="en-US"/>
        </w:rPr>
        <w:t>risk)  yields</w:t>
      </w:r>
      <w:proofErr w:type="gramEnd"/>
      <w:r>
        <w:rPr>
          <w:lang w:val="en-US"/>
        </w:rPr>
        <w:t xml:space="preserve"> wrong signs and is highly impreci</w:t>
      </w:r>
      <w:r w:rsidR="00602E42">
        <w:rPr>
          <w:lang w:val="en-US"/>
        </w:rPr>
        <w:t xml:space="preserve">se due to its </w:t>
      </w:r>
      <w:proofErr w:type="spellStart"/>
      <w:r w:rsidR="00602E42">
        <w:rPr>
          <w:lang w:val="en-US"/>
        </w:rPr>
        <w:t>colineartity</w:t>
      </w:r>
      <w:proofErr w:type="spellEnd"/>
      <w:r w:rsidR="00602E42">
        <w:rPr>
          <w:lang w:val="en-US"/>
        </w:rPr>
        <w:t xml:space="preserve">. Once commensurate variables are dropped this does become a significant determinant of credit risk. </w:t>
      </w:r>
    </w:p>
    <w:p w14:paraId="5227229D" w14:textId="77777777" w:rsidR="0023241E" w:rsidRDefault="0023241E" w:rsidP="00B96B77">
      <w:pPr>
        <w:rPr>
          <w:lang w:val="en-US"/>
        </w:rPr>
      </w:pPr>
    </w:p>
    <w:p w14:paraId="1F200491" w14:textId="7462873D" w:rsidR="0023241E" w:rsidRDefault="0023241E" w:rsidP="00B96B77">
      <w:pPr>
        <w:rPr>
          <w:lang w:val="en-US"/>
        </w:rPr>
      </w:pPr>
      <w:r>
        <w:rPr>
          <w:lang w:val="en-US"/>
        </w:rPr>
        <w:t xml:space="preserve">In col 3 the first difference of credit growth is added, which is insignificant. 1 year and </w:t>
      </w:r>
      <w:proofErr w:type="gramStart"/>
      <w:r>
        <w:rPr>
          <w:lang w:val="en-US"/>
        </w:rPr>
        <w:t>3 year</w:t>
      </w:r>
      <w:proofErr w:type="gramEnd"/>
      <w:r>
        <w:rPr>
          <w:lang w:val="en-US"/>
        </w:rPr>
        <w:t xml:space="preserve"> rolling average first diff are insignificant and wrongly signed. This is </w:t>
      </w:r>
      <w:proofErr w:type="gramStart"/>
      <w:r>
        <w:rPr>
          <w:lang w:val="en-US"/>
        </w:rPr>
        <w:t>due to the effects</w:t>
      </w:r>
      <w:proofErr w:type="gramEnd"/>
      <w:r>
        <w:rPr>
          <w:lang w:val="en-US"/>
        </w:rPr>
        <w:t xml:space="preserve"> of credit growth on crisis risk taking place via other controls in the baseline specification. When taken by itself, credit growth </w:t>
      </w:r>
      <w:proofErr w:type="gramStart"/>
      <w:r>
        <w:rPr>
          <w:lang w:val="en-US"/>
        </w:rPr>
        <w:t>in excess of</w:t>
      </w:r>
      <w:proofErr w:type="gramEnd"/>
      <w:r>
        <w:rPr>
          <w:lang w:val="en-US"/>
        </w:rPr>
        <w:t xml:space="preserve"> GDP growth does become significant at 10% level. </w:t>
      </w:r>
    </w:p>
    <w:p w14:paraId="11CD083F" w14:textId="441355C7" w:rsidR="0023241E" w:rsidRDefault="0023241E" w:rsidP="00B96B77">
      <w:pPr>
        <w:rPr>
          <w:lang w:val="en-US"/>
        </w:rPr>
      </w:pPr>
      <w:r>
        <w:rPr>
          <w:lang w:val="en-US"/>
        </w:rPr>
        <w:t xml:space="preserve">Same goes for inflation, trend output growth, trade and financial openness and institutional quality when taken alone. </w:t>
      </w:r>
    </w:p>
    <w:p w14:paraId="75AF8480" w14:textId="77777777" w:rsidR="0023241E" w:rsidRDefault="0023241E" w:rsidP="00B96B77">
      <w:pPr>
        <w:rPr>
          <w:lang w:val="en-US"/>
        </w:rPr>
      </w:pPr>
    </w:p>
    <w:p w14:paraId="31D87D31" w14:textId="763245D2" w:rsidR="0023241E" w:rsidRDefault="0023241E" w:rsidP="00B96B77">
      <w:pPr>
        <w:rPr>
          <w:lang w:val="en-US"/>
        </w:rPr>
      </w:pPr>
      <w:r>
        <w:rPr>
          <w:lang w:val="en-US"/>
        </w:rPr>
        <w:t xml:space="preserve">In column 11, net debt is shown to matter more than gross debt and gross </w:t>
      </w:r>
      <w:proofErr w:type="spellStart"/>
      <w:r>
        <w:rPr>
          <w:lang w:val="en-US"/>
        </w:rPr>
        <w:t>liablities</w:t>
      </w:r>
      <w:proofErr w:type="spellEnd"/>
    </w:p>
    <w:p w14:paraId="76C31813" w14:textId="77777777" w:rsidR="0023241E" w:rsidRDefault="0023241E" w:rsidP="00B96B77">
      <w:pPr>
        <w:rPr>
          <w:lang w:val="en-US"/>
        </w:rPr>
      </w:pPr>
    </w:p>
    <w:p w14:paraId="765F6A67" w14:textId="25F39787" w:rsidR="0023241E" w:rsidRPr="00A20CF8" w:rsidRDefault="0023241E" w:rsidP="00B96B77">
      <w:pPr>
        <w:rPr>
          <w:b/>
          <w:bCs/>
          <w:sz w:val="32"/>
          <w:szCs w:val="32"/>
          <w:lang w:val="en-US"/>
        </w:rPr>
      </w:pPr>
      <w:r w:rsidRPr="00A20CF8">
        <w:rPr>
          <w:b/>
          <w:bCs/>
          <w:sz w:val="32"/>
          <w:szCs w:val="32"/>
          <w:lang w:val="en-US"/>
        </w:rPr>
        <w:lastRenderedPageBreak/>
        <w:t>Definition and Sample Breakdown:</w:t>
      </w:r>
    </w:p>
    <w:p w14:paraId="27C866BA" w14:textId="77777777" w:rsidR="0023241E" w:rsidRDefault="0023241E" w:rsidP="00B96B77">
      <w:pPr>
        <w:rPr>
          <w:lang w:val="en-US"/>
        </w:rPr>
      </w:pPr>
    </w:p>
    <w:p w14:paraId="4D2962A5" w14:textId="7441DE81" w:rsidR="0023241E" w:rsidRDefault="0023241E" w:rsidP="00B96B77">
      <w:pPr>
        <w:rPr>
          <w:lang w:val="en-US"/>
        </w:rPr>
      </w:pPr>
      <w:r>
        <w:rPr>
          <w:lang w:val="en-US"/>
        </w:rPr>
        <w:t xml:space="preserve">First alternative: augments previous criterion to include </w:t>
      </w:r>
      <w:proofErr w:type="spellStart"/>
      <w:r>
        <w:rPr>
          <w:lang w:val="en-US"/>
        </w:rPr>
        <w:t>qny</w:t>
      </w:r>
      <w:proofErr w:type="spellEnd"/>
      <w:r>
        <w:rPr>
          <w:lang w:val="en-US"/>
        </w:rPr>
        <w:t xml:space="preserve"> real exchange rate depreciation in excess to 15% in a single year </w:t>
      </w:r>
      <w:proofErr w:type="spellStart"/>
      <w:r>
        <w:rPr>
          <w:lang w:val="en-US"/>
        </w:rPr>
        <w:t>ot</w:t>
      </w:r>
      <w:proofErr w:type="spellEnd"/>
      <w:r>
        <w:rPr>
          <w:lang w:val="en-US"/>
        </w:rPr>
        <w:t xml:space="preserve"> 20% in 2 consecutive years, coupled with negative real GDP growth and/or a drop in the output gap by more than one standard deviation. </w:t>
      </w:r>
    </w:p>
    <w:p w14:paraId="49EA70E0" w14:textId="680EA16D" w:rsidR="0023241E" w:rsidRDefault="0023241E" w:rsidP="00B96B77">
      <w:pPr>
        <w:rPr>
          <w:lang w:val="en-US"/>
        </w:rPr>
      </w:pPr>
      <w:r w:rsidRPr="0023241E">
        <w:rPr>
          <w:lang w:val="en-US"/>
        </w:rPr>
        <w:sym w:font="Wingdings" w:char="F0E0"/>
      </w:r>
      <w:r>
        <w:rPr>
          <w:lang w:val="en-US"/>
        </w:rPr>
        <w:t xml:space="preserve"> Fit of model is marginally worse, but the estimated coefficients retain their significance and sign, except for net portfolio equity which becomes negative though statistically insignificant. </w:t>
      </w:r>
    </w:p>
    <w:p w14:paraId="6C46F11C" w14:textId="77777777" w:rsidR="0023241E" w:rsidRDefault="0023241E" w:rsidP="00B96B77">
      <w:pPr>
        <w:rPr>
          <w:lang w:val="en-US"/>
        </w:rPr>
      </w:pPr>
    </w:p>
    <w:p w14:paraId="30B15443" w14:textId="12361D16" w:rsidR="0023241E" w:rsidRDefault="0023241E" w:rsidP="00B96B77">
      <w:pPr>
        <w:rPr>
          <w:lang w:val="en-US"/>
        </w:rPr>
      </w:pPr>
      <w:r>
        <w:rPr>
          <w:lang w:val="en-US"/>
        </w:rPr>
        <w:t xml:space="preserve">Second Alternative: Only includes sovereign defaults and </w:t>
      </w:r>
      <w:proofErr w:type="spellStart"/>
      <w:r>
        <w:rPr>
          <w:lang w:val="en-US"/>
        </w:rPr>
        <w:t>reschedulings</w:t>
      </w:r>
      <w:proofErr w:type="spellEnd"/>
      <w:r>
        <w:rPr>
          <w:lang w:val="en-US"/>
        </w:rPr>
        <w:t>.</w:t>
      </w:r>
    </w:p>
    <w:p w14:paraId="3163A424" w14:textId="05D27752" w:rsidR="0023241E" w:rsidRDefault="0023241E" w:rsidP="00B96B77">
      <w:pPr>
        <w:rPr>
          <w:lang w:val="en-US"/>
        </w:rPr>
      </w:pPr>
      <w:r w:rsidRPr="0023241E">
        <w:rPr>
          <w:lang w:val="en-US"/>
        </w:rPr>
        <w:sym w:font="Wingdings" w:char="F0E0"/>
      </w:r>
      <w:r>
        <w:rPr>
          <w:lang w:val="en-US"/>
        </w:rPr>
        <w:t xml:space="preserve"> Only significant changes are the coefficients on current account and FDI (now smaller and less precise). Coefficient on debt and reserves are nearly twice as high, which is unsurprising since we are focusing on debt defaults and emerging markets, where sovereign drains are a lot more severe. </w:t>
      </w:r>
    </w:p>
    <w:p w14:paraId="0B59F3A3" w14:textId="77777777" w:rsidR="0023241E" w:rsidRDefault="0023241E" w:rsidP="00B96B77">
      <w:pPr>
        <w:rPr>
          <w:lang w:val="en-US"/>
        </w:rPr>
      </w:pPr>
    </w:p>
    <w:p w14:paraId="1A33F9EC" w14:textId="36A96248" w:rsidR="0023241E" w:rsidRDefault="0062269E" w:rsidP="00B96B77">
      <w:pPr>
        <w:rPr>
          <w:lang w:val="en-US"/>
        </w:rPr>
      </w:pPr>
      <w:r>
        <w:rPr>
          <w:lang w:val="en-US"/>
        </w:rPr>
        <w:t xml:space="preserve">Third alternative: Helps compare results with </w:t>
      </w:r>
      <w:proofErr w:type="spellStart"/>
      <w:r>
        <w:rPr>
          <w:lang w:val="en-US"/>
        </w:rPr>
        <w:t>Gourinchas</w:t>
      </w:r>
      <w:proofErr w:type="spellEnd"/>
      <w:r>
        <w:rPr>
          <w:lang w:val="en-US"/>
        </w:rPr>
        <w:t xml:space="preserve"> and Obstfeld (2012), however there are 4 differences: 1) GO exclude advanced economies, 2) GO include additional emerging markets which are repeat defaulters, 3) GO include as new defaults credit events in sample that are part of broader default episode, 4) GO classify some credit events not labelled as such in other sources. </w:t>
      </w:r>
      <w:proofErr w:type="gramStart"/>
      <w:r w:rsidR="00796B1B">
        <w:rPr>
          <w:lang w:val="en-US"/>
        </w:rPr>
        <w:t>Thus</w:t>
      </w:r>
      <w:proofErr w:type="gramEnd"/>
      <w:r w:rsidR="00796B1B">
        <w:rPr>
          <w:lang w:val="en-US"/>
        </w:rPr>
        <w:t xml:space="preserve"> one ends up with more crisis events for emerging markets and a comparable number of crisis events. </w:t>
      </w:r>
    </w:p>
    <w:p w14:paraId="0CBD6104" w14:textId="2298FD04" w:rsidR="00796B1B" w:rsidRDefault="00796B1B" w:rsidP="00B96B77">
      <w:pPr>
        <w:rPr>
          <w:lang w:val="en-US"/>
        </w:rPr>
      </w:pPr>
      <w:r w:rsidRPr="00796B1B">
        <w:rPr>
          <w:lang w:val="en-US"/>
        </w:rPr>
        <w:sym w:font="Wingdings" w:char="F0E0"/>
      </w:r>
      <w:r>
        <w:rPr>
          <w:lang w:val="en-US"/>
        </w:rPr>
        <w:t xml:space="preserve"> Net debt, reserves and VIX retain significance, but coefficient on CA and GDP Per Capita sign although not conventional. Positive coefficient on CA is explained by inclusion of additional defaults by oil exporters and repeat defaults which occur when a country may be running a CA surplus due to being cut off from </w:t>
      </w:r>
      <w:proofErr w:type="spellStart"/>
      <w:r>
        <w:rPr>
          <w:lang w:val="en-US"/>
        </w:rPr>
        <w:t>intl</w:t>
      </w:r>
      <w:proofErr w:type="spellEnd"/>
      <w:r>
        <w:rPr>
          <w:lang w:val="en-US"/>
        </w:rPr>
        <w:t xml:space="preserve"> capital markets. </w:t>
      </w:r>
    </w:p>
    <w:p w14:paraId="488DD920" w14:textId="20BF6B15" w:rsidR="00796B1B" w:rsidRDefault="00796B1B" w:rsidP="00B96B77">
      <w:pPr>
        <w:rPr>
          <w:lang w:val="en-US"/>
        </w:rPr>
      </w:pPr>
      <w:r>
        <w:rPr>
          <w:lang w:val="en-US"/>
        </w:rPr>
        <w:t xml:space="preserve">Change in GDP per capital reflects exclusion of advanced economies. </w:t>
      </w:r>
    </w:p>
    <w:p w14:paraId="27BFF091" w14:textId="77777777" w:rsidR="00796B1B" w:rsidRDefault="00796B1B" w:rsidP="00B96B77">
      <w:pPr>
        <w:rPr>
          <w:lang w:val="en-US"/>
        </w:rPr>
      </w:pPr>
    </w:p>
    <w:p w14:paraId="1201D3D6" w14:textId="187507D3" w:rsidR="00796B1B" w:rsidRDefault="00796B1B" w:rsidP="00B96B77">
      <w:pPr>
        <w:rPr>
          <w:lang w:val="en-US"/>
        </w:rPr>
      </w:pPr>
      <w:r>
        <w:rPr>
          <w:lang w:val="en-US"/>
        </w:rPr>
        <w:t xml:space="preserve">Final sensitivity shows that eliminating 2008-2011 crises do not alter results much: net foreign </w:t>
      </w:r>
      <w:proofErr w:type="gramStart"/>
      <w:r>
        <w:rPr>
          <w:lang w:val="en-US"/>
        </w:rPr>
        <w:t>debt  continues</w:t>
      </w:r>
      <w:proofErr w:type="gramEnd"/>
      <w:r>
        <w:rPr>
          <w:lang w:val="en-US"/>
        </w:rPr>
        <w:t xml:space="preserve"> to be a strong predictor along with other variables. In col 1 net portfolio equity becomes negative, FDI </w:t>
      </w:r>
      <w:r w:rsidR="00A20CF8">
        <w:rPr>
          <w:lang w:val="en-US"/>
        </w:rPr>
        <w:t>is significant die to outlier emerging markets.</w:t>
      </w:r>
    </w:p>
    <w:p w14:paraId="626D80C3" w14:textId="77777777" w:rsidR="00A20CF8" w:rsidRDefault="00A20CF8" w:rsidP="00B96B77">
      <w:pPr>
        <w:rPr>
          <w:lang w:val="en-US"/>
        </w:rPr>
      </w:pPr>
    </w:p>
    <w:p w14:paraId="583027E6" w14:textId="11C09ADF" w:rsidR="00A20CF8" w:rsidRDefault="00A20CF8" w:rsidP="00B96B77">
      <w:pPr>
        <w:rPr>
          <w:lang w:val="en-US"/>
        </w:rPr>
      </w:pPr>
      <w:r>
        <w:rPr>
          <w:lang w:val="en-US"/>
        </w:rPr>
        <w:t xml:space="preserve">Different </w:t>
      </w:r>
      <w:proofErr w:type="spellStart"/>
      <w:r>
        <w:rPr>
          <w:lang w:val="en-US"/>
        </w:rPr>
        <w:t>definitnions</w:t>
      </w:r>
      <w:proofErr w:type="spellEnd"/>
      <w:r>
        <w:rPr>
          <w:lang w:val="en-US"/>
        </w:rPr>
        <w:t xml:space="preserve"> of crisis and sample breakdown can have non-trivial effects on point </w:t>
      </w:r>
      <w:proofErr w:type="spellStart"/>
      <w:r>
        <w:rPr>
          <w:lang w:val="en-US"/>
        </w:rPr>
        <w:t>estiamtes</w:t>
      </w:r>
      <w:proofErr w:type="spellEnd"/>
      <w:r>
        <w:rPr>
          <w:lang w:val="en-US"/>
        </w:rPr>
        <w:t xml:space="preserve"> for some explanatory variables. </w:t>
      </w:r>
    </w:p>
    <w:p w14:paraId="2DC41034" w14:textId="77777777" w:rsidR="00A20CF8" w:rsidRDefault="00A20CF8" w:rsidP="00B96B77">
      <w:pPr>
        <w:rPr>
          <w:lang w:val="en-US"/>
        </w:rPr>
      </w:pPr>
    </w:p>
    <w:p w14:paraId="1DCFDD7E" w14:textId="6B362367" w:rsidR="00A20CF8" w:rsidRDefault="008847BF" w:rsidP="00B96B77">
      <w:pPr>
        <w:rPr>
          <w:lang w:val="en-US"/>
        </w:rPr>
      </w:pPr>
      <w:r>
        <w:rPr>
          <w:lang w:val="en-US"/>
        </w:rPr>
        <w:lastRenderedPageBreak/>
        <w:t>Predictive power</w:t>
      </w:r>
    </w:p>
    <w:p w14:paraId="6A690BB0" w14:textId="77777777" w:rsidR="008847BF" w:rsidRDefault="008847BF" w:rsidP="00B96B77">
      <w:pPr>
        <w:rPr>
          <w:lang w:val="en-US"/>
        </w:rPr>
      </w:pPr>
    </w:p>
    <w:p w14:paraId="1D97EC81" w14:textId="081AE260" w:rsidR="008847BF" w:rsidRDefault="008847BF" w:rsidP="00B96B77">
      <w:pPr>
        <w:rPr>
          <w:lang w:val="en-US"/>
        </w:rPr>
      </w:pPr>
      <w:r>
        <w:rPr>
          <w:lang w:val="en-US"/>
        </w:rPr>
        <w:t xml:space="preserve">Good alarms: model predicts a crisis probability above a chosen cut-off point and a crisis </w:t>
      </w:r>
      <w:proofErr w:type="gramStart"/>
      <w:r>
        <w:rPr>
          <w:lang w:val="en-US"/>
        </w:rPr>
        <w:t>actually occurs</w:t>
      </w:r>
      <w:proofErr w:type="gramEnd"/>
      <w:r>
        <w:rPr>
          <w:lang w:val="en-US"/>
        </w:rPr>
        <w:t xml:space="preserve"> within </w:t>
      </w:r>
      <w:proofErr w:type="gramStart"/>
      <w:r>
        <w:rPr>
          <w:lang w:val="en-US"/>
        </w:rPr>
        <w:t>2 year</w:t>
      </w:r>
      <w:proofErr w:type="gramEnd"/>
      <w:r>
        <w:rPr>
          <w:lang w:val="en-US"/>
        </w:rPr>
        <w:t xml:space="preserve"> window. </w:t>
      </w:r>
    </w:p>
    <w:p w14:paraId="4E6F8FC1" w14:textId="57BA9097" w:rsidR="008847BF" w:rsidRDefault="008847BF" w:rsidP="00B96B77">
      <w:pPr>
        <w:rPr>
          <w:lang w:val="en-US"/>
        </w:rPr>
      </w:pPr>
      <w:r>
        <w:rPr>
          <w:lang w:val="en-US"/>
        </w:rPr>
        <w:t xml:space="preserve">Choice of cut off depends on objective of analyst/policymaker. Unconditional probability is 3%, table 8 reports 11% and 20%. 11% has better ROC score. This perform better than other more parameterized models in past literature. </w:t>
      </w:r>
    </w:p>
    <w:p w14:paraId="4B22671E" w14:textId="199546FA" w:rsidR="008847BF" w:rsidRDefault="008847BF" w:rsidP="00B96B77">
      <w:pPr>
        <w:rPr>
          <w:lang w:val="en-US"/>
        </w:rPr>
      </w:pPr>
      <w:r>
        <w:rPr>
          <w:lang w:val="en-US"/>
        </w:rPr>
        <w:t xml:space="preserve">Performance is well balanced between emerging and advanced economies, with the shortfall being associated with Africa/middle east. </w:t>
      </w:r>
    </w:p>
    <w:p w14:paraId="15274E2A" w14:textId="77777777" w:rsidR="00845ED1" w:rsidRDefault="00845ED1" w:rsidP="00B96B77">
      <w:pPr>
        <w:rPr>
          <w:lang w:val="en-US"/>
        </w:rPr>
      </w:pPr>
    </w:p>
    <w:p w14:paraId="17CD8419" w14:textId="164447E1" w:rsidR="00845ED1" w:rsidRDefault="00845ED1" w:rsidP="00B96B77">
      <w:pPr>
        <w:rPr>
          <w:lang w:val="en-US"/>
        </w:rPr>
      </w:pPr>
      <w:r>
        <w:rPr>
          <w:lang w:val="en-US"/>
        </w:rPr>
        <w:t xml:space="preserve">Estimates of out of sample predictive power missed a few countries but overall performs well. </w:t>
      </w:r>
    </w:p>
    <w:p w14:paraId="3A7B050F" w14:textId="77777777" w:rsidR="001F1212" w:rsidRDefault="001F1212" w:rsidP="00B96B77">
      <w:pPr>
        <w:rPr>
          <w:lang w:val="en-US"/>
        </w:rPr>
      </w:pPr>
    </w:p>
    <w:p w14:paraId="23A9408B" w14:textId="77777777" w:rsidR="001F1212" w:rsidRDefault="001F1212" w:rsidP="00B96B77">
      <w:pPr>
        <w:rPr>
          <w:lang w:val="en-US"/>
        </w:rPr>
      </w:pPr>
    </w:p>
    <w:p w14:paraId="6871B827" w14:textId="77777777" w:rsidR="00B96B77" w:rsidRPr="00DB7E9B" w:rsidRDefault="00B96B77" w:rsidP="00DB7E9B">
      <w:pPr>
        <w:rPr>
          <w:lang w:val="en-US"/>
        </w:rPr>
      </w:pPr>
    </w:p>
    <w:sectPr w:rsidR="00B96B77" w:rsidRPr="00DB7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E2909"/>
    <w:multiLevelType w:val="hybridMultilevel"/>
    <w:tmpl w:val="83A836E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6E1FF0"/>
    <w:multiLevelType w:val="hybridMultilevel"/>
    <w:tmpl w:val="990E262E"/>
    <w:lvl w:ilvl="0" w:tplc="6D4432F6">
      <w:start w:val="3"/>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98341277">
    <w:abstractNumId w:val="0"/>
  </w:num>
  <w:num w:numId="2" w16cid:durableId="810555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10"/>
    <w:rsid w:val="000260A5"/>
    <w:rsid w:val="00054568"/>
    <w:rsid w:val="000C6539"/>
    <w:rsid w:val="000E62A6"/>
    <w:rsid w:val="00117B63"/>
    <w:rsid w:val="001D09D2"/>
    <w:rsid w:val="001F1212"/>
    <w:rsid w:val="002279D0"/>
    <w:rsid w:val="0023241E"/>
    <w:rsid w:val="002A6B48"/>
    <w:rsid w:val="002E622B"/>
    <w:rsid w:val="00410663"/>
    <w:rsid w:val="00424A5E"/>
    <w:rsid w:val="00434D2A"/>
    <w:rsid w:val="004571DB"/>
    <w:rsid w:val="00602E42"/>
    <w:rsid w:val="0062269E"/>
    <w:rsid w:val="006C003E"/>
    <w:rsid w:val="00796B1B"/>
    <w:rsid w:val="00845ED1"/>
    <w:rsid w:val="00855D66"/>
    <w:rsid w:val="008847BF"/>
    <w:rsid w:val="00912B4A"/>
    <w:rsid w:val="00A20CF8"/>
    <w:rsid w:val="00A9401C"/>
    <w:rsid w:val="00B3529B"/>
    <w:rsid w:val="00B4699E"/>
    <w:rsid w:val="00B96B77"/>
    <w:rsid w:val="00DB23F2"/>
    <w:rsid w:val="00DB7E9B"/>
    <w:rsid w:val="00E10EEA"/>
    <w:rsid w:val="00E54B83"/>
    <w:rsid w:val="00EC0D10"/>
    <w:rsid w:val="00F64F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E285FCF"/>
  <w15:chartTrackingRefBased/>
  <w15:docId w15:val="{FD3F8261-9370-9C40-8F2C-0182DB32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1DB"/>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EC0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D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D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0D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0D1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0D1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0D1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0D1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D10"/>
    <w:rPr>
      <w:rFonts w:eastAsiaTheme="majorEastAsia" w:cstheme="majorBidi"/>
      <w:color w:val="272727" w:themeColor="text1" w:themeTint="D8"/>
    </w:rPr>
  </w:style>
  <w:style w:type="paragraph" w:styleId="Title">
    <w:name w:val="Title"/>
    <w:basedOn w:val="Normal"/>
    <w:next w:val="Normal"/>
    <w:link w:val="TitleChar"/>
    <w:uiPriority w:val="10"/>
    <w:qFormat/>
    <w:rsid w:val="00EC0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D1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D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D10"/>
    <w:rPr>
      <w:rFonts w:ascii="Times New Roman" w:hAnsi="Times New Roman"/>
      <w:i/>
      <w:iCs/>
      <w:color w:val="404040" w:themeColor="text1" w:themeTint="BF"/>
    </w:rPr>
  </w:style>
  <w:style w:type="paragraph" w:styleId="ListParagraph">
    <w:name w:val="List Paragraph"/>
    <w:basedOn w:val="Normal"/>
    <w:uiPriority w:val="34"/>
    <w:qFormat/>
    <w:rsid w:val="00EC0D10"/>
    <w:pPr>
      <w:ind w:left="720"/>
      <w:contextualSpacing/>
    </w:pPr>
  </w:style>
  <w:style w:type="character" w:styleId="IntenseEmphasis">
    <w:name w:val="Intense Emphasis"/>
    <w:basedOn w:val="DefaultParagraphFont"/>
    <w:uiPriority w:val="21"/>
    <w:qFormat/>
    <w:rsid w:val="00EC0D10"/>
    <w:rPr>
      <w:i/>
      <w:iCs/>
      <w:color w:val="0F4761" w:themeColor="accent1" w:themeShade="BF"/>
    </w:rPr>
  </w:style>
  <w:style w:type="paragraph" w:styleId="IntenseQuote">
    <w:name w:val="Intense Quote"/>
    <w:basedOn w:val="Normal"/>
    <w:next w:val="Normal"/>
    <w:link w:val="IntenseQuoteChar"/>
    <w:uiPriority w:val="30"/>
    <w:qFormat/>
    <w:rsid w:val="00EC0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D10"/>
    <w:rPr>
      <w:rFonts w:ascii="Times New Roman" w:hAnsi="Times New Roman"/>
      <w:i/>
      <w:iCs/>
      <w:color w:val="0F4761" w:themeColor="accent1" w:themeShade="BF"/>
    </w:rPr>
  </w:style>
  <w:style w:type="character" w:styleId="IntenseReference">
    <w:name w:val="Intense Reference"/>
    <w:basedOn w:val="DefaultParagraphFont"/>
    <w:uiPriority w:val="32"/>
    <w:qFormat/>
    <w:rsid w:val="00EC0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1545</Words>
  <Characters>8812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Smuts</dc:creator>
  <cp:keywords/>
  <dc:description/>
  <cp:lastModifiedBy>Jan Smuts</cp:lastModifiedBy>
  <cp:revision>2</cp:revision>
  <dcterms:created xsi:type="dcterms:W3CDTF">2026-03-04T11:50:00Z</dcterms:created>
  <dcterms:modified xsi:type="dcterms:W3CDTF">2026-03-11T07:18:00Z</dcterms:modified>
</cp:coreProperties>
</file>