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BBABD" w14:textId="245F365C" w:rsidR="00E54B83" w:rsidRDefault="009C56B7">
      <w:pPr>
        <w:rPr>
          <w:lang w:val="en-US"/>
        </w:rPr>
      </w:pPr>
      <w:r>
        <w:rPr>
          <w:lang w:val="en-US"/>
        </w:rPr>
        <w:t xml:space="preserve">Evaluates empirically the patterns of risk sharing among different groups and examines how international financial integration has affected evolution of these patterns. </w:t>
      </w:r>
    </w:p>
    <w:p w14:paraId="068AD315" w14:textId="77777777" w:rsidR="009C56B7" w:rsidRDefault="009C56B7">
      <w:pPr>
        <w:rPr>
          <w:lang w:val="en-US"/>
        </w:rPr>
      </w:pPr>
    </w:p>
    <w:p w14:paraId="59170EBC" w14:textId="1EB29E49" w:rsidR="009C56B7" w:rsidRDefault="009C56B7">
      <w:pPr>
        <w:rPr>
          <w:lang w:val="en-US"/>
        </w:rPr>
      </w:pPr>
      <w:r>
        <w:rPr>
          <w:lang w:val="en-US"/>
        </w:rPr>
        <w:t xml:space="preserve">Find at best a modest degree of international risk sharing that does not match theory. </w:t>
      </w:r>
      <w:r>
        <w:rPr>
          <w:lang w:val="en-US"/>
        </w:rPr>
        <w:br/>
        <w:t xml:space="preserve">Only industrial countries have attained better risk sharing outcomes during the recent period of globalization, while developing countries have been shut out from this benefit, even </w:t>
      </w:r>
      <w:proofErr w:type="gramStart"/>
      <w:r>
        <w:rPr>
          <w:lang w:val="en-US"/>
        </w:rPr>
        <w:t>EM’s</w:t>
      </w:r>
      <w:proofErr w:type="gramEnd"/>
      <w:r>
        <w:rPr>
          <w:lang w:val="en-US"/>
        </w:rPr>
        <w:t xml:space="preserve"> with reduced capital controls and increased capital flows have seen little risk-sharing benefits. Portfolio debt, which dominates external liability stocks of emerging markets are not conducive to risk sharing.</w:t>
      </w:r>
    </w:p>
    <w:p w14:paraId="53B66114" w14:textId="77777777" w:rsidR="009C56B7" w:rsidRDefault="009C56B7">
      <w:pPr>
        <w:rPr>
          <w:lang w:val="en-US"/>
        </w:rPr>
      </w:pPr>
    </w:p>
    <w:p w14:paraId="0A47CAEE" w14:textId="77777777" w:rsidR="009C56B7" w:rsidRDefault="009C56B7">
      <w:pPr>
        <w:rPr>
          <w:lang w:val="en-US"/>
        </w:rPr>
      </w:pPr>
    </w:p>
    <w:p w14:paraId="736EDC14" w14:textId="78F6CC96" w:rsidR="009C56B7" w:rsidRPr="00A3245F" w:rsidRDefault="009C56B7" w:rsidP="00A3245F">
      <w:pPr>
        <w:pStyle w:val="ListParagraph"/>
        <w:numPr>
          <w:ilvl w:val="0"/>
          <w:numId w:val="2"/>
        </w:numPr>
        <w:rPr>
          <w:b/>
          <w:bCs/>
          <w:lang w:val="en-US"/>
        </w:rPr>
      </w:pPr>
      <w:r w:rsidRPr="00A3245F">
        <w:rPr>
          <w:b/>
          <w:bCs/>
          <w:lang w:val="en-US"/>
        </w:rPr>
        <w:t>INTRODUCTION</w:t>
      </w:r>
    </w:p>
    <w:p w14:paraId="0E1AB4A1" w14:textId="77777777" w:rsidR="009C56B7" w:rsidRPr="009C56B7" w:rsidRDefault="009C56B7">
      <w:pPr>
        <w:rPr>
          <w:lang w:val="en-US"/>
        </w:rPr>
      </w:pPr>
    </w:p>
    <w:p w14:paraId="340D8D15" w14:textId="524EB297" w:rsidR="009C56B7" w:rsidRDefault="009C56B7">
      <w:pPr>
        <w:rPr>
          <w:lang w:val="en-US"/>
        </w:rPr>
      </w:pPr>
      <w:r>
        <w:rPr>
          <w:lang w:val="en-US"/>
        </w:rPr>
        <w:t>Well-developed domestic financial markets</w:t>
      </w:r>
      <w:r w:rsidR="00F91F8B">
        <w:rPr>
          <w:lang w:val="en-US"/>
        </w:rPr>
        <w:t xml:space="preserve"> allow economic agents to ensure among themselves, while ensuring against country-wide shocks requires openness to financial flows that allow agents in different countries to pool their risks. </w:t>
      </w:r>
    </w:p>
    <w:p w14:paraId="25FA827E" w14:textId="77777777" w:rsidR="00837F95" w:rsidRDefault="00837F95">
      <w:pPr>
        <w:rPr>
          <w:lang w:val="en-US"/>
        </w:rPr>
      </w:pPr>
    </w:p>
    <w:p w14:paraId="3CED6E9A" w14:textId="77777777" w:rsidR="00837F95" w:rsidRDefault="00837F95">
      <w:pPr>
        <w:rPr>
          <w:lang w:val="en-US"/>
        </w:rPr>
      </w:pPr>
      <w:r>
        <w:rPr>
          <w:lang w:val="en-US"/>
        </w:rPr>
        <w:t xml:space="preserve">There is relatively limited literature on risk-sharing pattens for non-industrial economies, despite the higher volatility of consumption fluctuating signifying higher potential welfare gains of stabilization. </w:t>
      </w:r>
    </w:p>
    <w:p w14:paraId="7EA88BF5" w14:textId="77777777" w:rsidR="00837F95" w:rsidRDefault="00837F95">
      <w:pPr>
        <w:rPr>
          <w:lang w:val="en-US"/>
        </w:rPr>
      </w:pPr>
    </w:p>
    <w:p w14:paraId="6C3FC172" w14:textId="77777777" w:rsidR="00837F95" w:rsidRDefault="00837F95">
      <w:pPr>
        <w:rPr>
          <w:lang w:val="en-US"/>
        </w:rPr>
      </w:pPr>
      <w:r>
        <w:rPr>
          <w:lang w:val="en-US"/>
        </w:rPr>
        <w:t xml:space="preserve">OBJECTIVE IS TO STUDY IMPACT OF FINANCIAL GLOBALIZATION ON THE DEGREE OF INTERATIONAL CONSUMPTION RISK SHARING FOR A LARGE SET OF INDUSTRIAL AND DEVELOPING COUNTRIES. </w:t>
      </w:r>
    </w:p>
    <w:p w14:paraId="429F5283" w14:textId="11214150" w:rsidR="00837F95" w:rsidRDefault="00837F95">
      <w:pPr>
        <w:rPr>
          <w:lang w:val="en-US"/>
        </w:rPr>
      </w:pPr>
      <w:r>
        <w:rPr>
          <w:lang w:val="en-US"/>
        </w:rPr>
        <w:t xml:space="preserve">3 CONTRIBUTIONS TO RISK SHARING LITERATURE:  </w:t>
      </w:r>
    </w:p>
    <w:p w14:paraId="1AEE08D8" w14:textId="05411DAB" w:rsidR="00837F95" w:rsidRDefault="00837F95" w:rsidP="00837F95">
      <w:pPr>
        <w:pStyle w:val="ListParagraph"/>
        <w:numPr>
          <w:ilvl w:val="0"/>
          <w:numId w:val="1"/>
        </w:numPr>
        <w:rPr>
          <w:lang w:val="en-US"/>
        </w:rPr>
      </w:pPr>
      <w:r>
        <w:rPr>
          <w:lang w:val="en-US"/>
        </w:rPr>
        <w:t xml:space="preserve">EXTEND ANALYSIS TO A LARGE GROUP OF EMERGING MARKETS AND OTHER DEVELOPING ECONOMIES AND INVESTIGATE THE EXTENT OF RISK SHARING BY THESE ECONOMIES IN A UNIFIED FRAMEWORK. </w:t>
      </w:r>
    </w:p>
    <w:p w14:paraId="7EB6C211" w14:textId="4E5541F0" w:rsidR="00837F95" w:rsidRDefault="00837F95" w:rsidP="00837F95">
      <w:pPr>
        <w:pStyle w:val="ListParagraph"/>
        <w:numPr>
          <w:ilvl w:val="0"/>
          <w:numId w:val="1"/>
        </w:numPr>
        <w:rPr>
          <w:lang w:val="en-US"/>
        </w:rPr>
      </w:pPr>
      <w:r>
        <w:rPr>
          <w:lang w:val="en-US"/>
        </w:rPr>
        <w:t>EXAMINE CHANGES OVER TIME IN THE DEGREE OF RISK SHARING ACROSS DIFFERENT GROUPS OF COUNTRIES AND ATTEMPT TO RELATE THOSE TO CHANGES IN THE DEGREE OF FINANCIAL OPENNESS.</w:t>
      </w:r>
    </w:p>
    <w:p w14:paraId="29DFA9AF" w14:textId="217B50BA" w:rsidR="00837F95" w:rsidRDefault="00837F95" w:rsidP="00837F95">
      <w:pPr>
        <w:pStyle w:val="ListParagraph"/>
        <w:numPr>
          <w:ilvl w:val="0"/>
          <w:numId w:val="1"/>
        </w:numPr>
        <w:rPr>
          <w:lang w:val="en-US"/>
        </w:rPr>
      </w:pPr>
      <w:r>
        <w:rPr>
          <w:lang w:val="en-US"/>
        </w:rPr>
        <w:t xml:space="preserve">PROVIDE A CAREFUL EVALUATION OF ALTERNATIVE MEASURES OF RISK SHARING FROM OTHER EMPIRICAL APPROACHES. </w:t>
      </w:r>
    </w:p>
    <w:p w14:paraId="267E9339" w14:textId="0D61A6EE" w:rsidR="00C40509" w:rsidRDefault="00C40509" w:rsidP="00C40509">
      <w:pPr>
        <w:ind w:left="360"/>
        <w:rPr>
          <w:lang w:val="en-US"/>
        </w:rPr>
      </w:pPr>
      <w:r>
        <w:rPr>
          <w:lang w:val="en-US"/>
        </w:rPr>
        <w:lastRenderedPageBreak/>
        <w:t xml:space="preserve">No evidence of risk sharing among DC or EM, although there is some evidence that risk sharing has improved in the last decade and a half along with a large volume of cross-border financial flows relative to the previous 2 decades. </w:t>
      </w:r>
    </w:p>
    <w:p w14:paraId="1F8D080C" w14:textId="77777777" w:rsidR="00C40509" w:rsidRDefault="00C40509" w:rsidP="00C40509">
      <w:pPr>
        <w:ind w:left="360"/>
        <w:rPr>
          <w:lang w:val="en-US"/>
        </w:rPr>
      </w:pPr>
    </w:p>
    <w:p w14:paraId="762A292A" w14:textId="5720CE8D" w:rsidR="00C40509" w:rsidRDefault="00C40509" w:rsidP="00C40509">
      <w:pPr>
        <w:ind w:left="360"/>
        <w:rPr>
          <w:lang w:val="en-US"/>
        </w:rPr>
      </w:pPr>
      <w:r>
        <w:rPr>
          <w:lang w:val="en-US"/>
        </w:rPr>
        <w:t xml:space="preserve">Explanations: Non-industrial countries rely more on less stable capital such as bank loans and other forms of debt that may not allow for efficient risk sharing. </w:t>
      </w:r>
    </w:p>
    <w:p w14:paraId="557E191A" w14:textId="77777777" w:rsidR="00C40509" w:rsidRDefault="00C40509" w:rsidP="00C40509">
      <w:pPr>
        <w:ind w:left="360"/>
        <w:rPr>
          <w:lang w:val="en-US"/>
        </w:rPr>
      </w:pPr>
    </w:p>
    <w:p w14:paraId="4F1162C1" w14:textId="5DEC67F9" w:rsidR="00C40509" w:rsidRDefault="00C40509" w:rsidP="00C40509">
      <w:pPr>
        <w:ind w:left="360"/>
        <w:rPr>
          <w:lang w:val="en-US"/>
        </w:rPr>
      </w:pPr>
      <w:r>
        <w:rPr>
          <w:lang w:val="en-US"/>
        </w:rPr>
        <w:t xml:space="preserve">When decomposing external assets </w:t>
      </w:r>
      <w:r w:rsidR="00EA4284">
        <w:rPr>
          <w:lang w:val="en-US"/>
        </w:rPr>
        <w:t>and</w:t>
      </w:r>
      <w:r>
        <w:rPr>
          <w:lang w:val="en-US"/>
        </w:rPr>
        <w:t xml:space="preserve"> liabilities </w:t>
      </w:r>
      <w:r w:rsidR="00EA4284">
        <w:rPr>
          <w:lang w:val="en-US"/>
        </w:rPr>
        <w:t xml:space="preserve">into different groups, composition of capital flows is found to affect the ability of developing countries to share risk. </w:t>
      </w:r>
    </w:p>
    <w:p w14:paraId="118DEFBF" w14:textId="77777777" w:rsidR="00EA4284" w:rsidRDefault="00EA4284" w:rsidP="00C40509">
      <w:pPr>
        <w:ind w:left="360"/>
        <w:rPr>
          <w:lang w:val="en-US"/>
        </w:rPr>
      </w:pPr>
    </w:p>
    <w:p w14:paraId="7E1DE281" w14:textId="71967892" w:rsidR="00EA4284" w:rsidRDefault="00A3245F" w:rsidP="00C40509">
      <w:pPr>
        <w:ind w:left="360"/>
        <w:rPr>
          <w:b/>
          <w:bCs/>
          <w:lang w:val="en-US"/>
        </w:rPr>
      </w:pPr>
      <w:r>
        <w:rPr>
          <w:b/>
          <w:bCs/>
          <w:lang w:val="en-US"/>
        </w:rPr>
        <w:t xml:space="preserve">2. </w:t>
      </w:r>
      <w:r w:rsidR="00EA4284">
        <w:rPr>
          <w:b/>
          <w:bCs/>
          <w:lang w:val="en-US"/>
        </w:rPr>
        <w:t>DATASET</w:t>
      </w:r>
    </w:p>
    <w:p w14:paraId="3079F0A6" w14:textId="77777777" w:rsidR="00EA4284" w:rsidRDefault="00EA4284" w:rsidP="00C40509">
      <w:pPr>
        <w:ind w:left="360"/>
        <w:rPr>
          <w:b/>
          <w:bCs/>
          <w:lang w:val="en-US"/>
        </w:rPr>
      </w:pPr>
    </w:p>
    <w:p w14:paraId="34C6BC58" w14:textId="1DC497C0" w:rsidR="00EA4284" w:rsidRDefault="00EA4284" w:rsidP="00C40509">
      <w:pPr>
        <w:ind w:left="360"/>
        <w:rPr>
          <w:lang w:val="en-US"/>
        </w:rPr>
      </w:pPr>
      <w:r>
        <w:rPr>
          <w:lang w:val="en-US"/>
        </w:rPr>
        <w:t>Per capita real GDP, real private consumption, real public consumption,</w:t>
      </w:r>
    </w:p>
    <w:p w14:paraId="4D17650F" w14:textId="3C8DFDE9" w:rsidR="00EA4284" w:rsidRDefault="00EA4284" w:rsidP="00C40509">
      <w:pPr>
        <w:ind w:left="360"/>
        <w:rPr>
          <w:lang w:val="en-US"/>
        </w:rPr>
      </w:pPr>
      <w:r>
        <w:rPr>
          <w:lang w:val="en-US"/>
        </w:rPr>
        <w:t xml:space="preserve">De jure CA openness is used to evaluate the impact of financial integration on risk sharing. IMF’s annual report on exchange rate arrangements and exchange restrictions is used </w:t>
      </w:r>
      <w:proofErr w:type="gramStart"/>
      <w:r>
        <w:rPr>
          <w:lang w:val="en-US"/>
        </w:rPr>
        <w:t>as  benchmark</w:t>
      </w:r>
      <w:proofErr w:type="gramEnd"/>
      <w:r>
        <w:rPr>
          <w:lang w:val="en-US"/>
        </w:rPr>
        <w:t xml:space="preserve"> de jure measure of openness. 3 other measures are also used including measure of </w:t>
      </w:r>
      <w:proofErr w:type="spellStart"/>
      <w:r>
        <w:rPr>
          <w:lang w:val="en-US"/>
        </w:rPr>
        <w:t>defacto</w:t>
      </w:r>
      <w:proofErr w:type="spellEnd"/>
      <w:r>
        <w:rPr>
          <w:lang w:val="en-US"/>
        </w:rPr>
        <w:t xml:space="preserve"> openness (gross stock of external assets/liabilities as ratios to GDP</w:t>
      </w:r>
      <w:r w:rsidR="00A3245F">
        <w:rPr>
          <w:lang w:val="en-US"/>
        </w:rPr>
        <w:t xml:space="preserve"> – </w:t>
      </w:r>
      <w:proofErr w:type="gramStart"/>
      <w:r w:rsidR="00A3245F">
        <w:rPr>
          <w:lang w:val="en-US"/>
        </w:rPr>
        <w:t>this measures outcomes</w:t>
      </w:r>
      <w:proofErr w:type="gramEnd"/>
      <w:r w:rsidR="00A3245F">
        <w:rPr>
          <w:lang w:val="en-US"/>
        </w:rPr>
        <w:t xml:space="preserve"> of financial globalization rather than exogenous change in capital control regime</w:t>
      </w:r>
      <w:r>
        <w:rPr>
          <w:lang w:val="en-US"/>
        </w:rPr>
        <w:t xml:space="preserve">). </w:t>
      </w:r>
    </w:p>
    <w:p w14:paraId="33E4CA95" w14:textId="77777777" w:rsidR="00A3245F" w:rsidRDefault="00A3245F" w:rsidP="00C40509">
      <w:pPr>
        <w:ind w:left="360"/>
        <w:rPr>
          <w:lang w:val="en-US"/>
        </w:rPr>
      </w:pPr>
    </w:p>
    <w:p w14:paraId="0D7D2DFE" w14:textId="39BFFBC1" w:rsidR="00A3245F" w:rsidRDefault="00A3245F" w:rsidP="00C40509">
      <w:pPr>
        <w:ind w:left="360"/>
        <w:rPr>
          <w:lang w:val="en-US"/>
        </w:rPr>
      </w:pPr>
      <w:r>
        <w:rPr>
          <w:lang w:val="en-US"/>
        </w:rPr>
        <w:t xml:space="preserve">Sample: 21 industrial countries, 21 EM’s 27 </w:t>
      </w:r>
      <w:proofErr w:type="gramStart"/>
      <w:r>
        <w:rPr>
          <w:lang w:val="en-US"/>
        </w:rPr>
        <w:t>DC’s</w:t>
      </w:r>
      <w:proofErr w:type="gramEnd"/>
      <w:r>
        <w:rPr>
          <w:lang w:val="en-US"/>
        </w:rPr>
        <w:t xml:space="preserve">. </w:t>
      </w:r>
    </w:p>
    <w:p w14:paraId="03A47D77" w14:textId="77777777" w:rsidR="00A3245F" w:rsidRDefault="00A3245F" w:rsidP="00C40509">
      <w:pPr>
        <w:ind w:left="360"/>
        <w:rPr>
          <w:lang w:val="en-US"/>
        </w:rPr>
      </w:pPr>
    </w:p>
    <w:p w14:paraId="0E1D9013" w14:textId="1DED426F" w:rsidR="00A3245F" w:rsidRDefault="00A3245F" w:rsidP="00C40509">
      <w:pPr>
        <w:ind w:left="360"/>
        <w:rPr>
          <w:lang w:val="en-US"/>
        </w:rPr>
      </w:pPr>
      <w:r>
        <w:rPr>
          <w:lang w:val="en-US"/>
        </w:rPr>
        <w:t>Modern era of globalization (1987-2004) has separate results reported in addition to full sample (1960-2004)</w:t>
      </w:r>
    </w:p>
    <w:p w14:paraId="393D1D13" w14:textId="77777777" w:rsidR="00A3245F" w:rsidRDefault="00A3245F" w:rsidP="00C40509">
      <w:pPr>
        <w:ind w:left="360"/>
        <w:rPr>
          <w:lang w:val="en-US"/>
        </w:rPr>
      </w:pPr>
    </w:p>
    <w:p w14:paraId="72EDA4E3" w14:textId="77777777" w:rsidR="00A3245F" w:rsidRPr="00A3245F" w:rsidRDefault="00A3245F" w:rsidP="00C40509">
      <w:pPr>
        <w:ind w:left="360"/>
        <w:rPr>
          <w:b/>
          <w:bCs/>
          <w:lang w:val="en-US"/>
        </w:rPr>
      </w:pPr>
    </w:p>
    <w:p w14:paraId="43DA7A70" w14:textId="2ABAE0D2" w:rsidR="00EA4284" w:rsidRDefault="00A3245F" w:rsidP="00A3245F">
      <w:pPr>
        <w:pStyle w:val="ListParagraph"/>
        <w:numPr>
          <w:ilvl w:val="0"/>
          <w:numId w:val="3"/>
        </w:numPr>
        <w:rPr>
          <w:b/>
          <w:bCs/>
          <w:lang w:val="en-US"/>
        </w:rPr>
      </w:pPr>
      <w:r w:rsidRPr="00A3245F">
        <w:rPr>
          <w:b/>
          <w:bCs/>
          <w:lang w:val="en-US"/>
        </w:rPr>
        <w:t>EVOLUTION OF CONSUMPTION RISK SHARING</w:t>
      </w:r>
    </w:p>
    <w:p w14:paraId="034DBD84" w14:textId="0C8999E1" w:rsidR="00A3245F" w:rsidRPr="00A3245F" w:rsidRDefault="00A3245F" w:rsidP="00A3245F">
      <w:pPr>
        <w:rPr>
          <w:lang w:val="en-US"/>
        </w:rPr>
      </w:pPr>
      <w:r>
        <w:rPr>
          <w:b/>
          <w:bCs/>
          <w:lang w:val="en-US"/>
        </w:rPr>
        <w:t xml:space="preserve"> </w:t>
      </w:r>
    </w:p>
    <w:p w14:paraId="728FBC18" w14:textId="24ABA05D" w:rsidR="00EA4284" w:rsidRDefault="00A3245F" w:rsidP="00A3245F">
      <w:pPr>
        <w:rPr>
          <w:lang w:val="en-US"/>
        </w:rPr>
      </w:pPr>
      <w:r>
        <w:rPr>
          <w:lang w:val="en-US"/>
        </w:rPr>
        <w:t xml:space="preserve">Conventional theory says that in perfect markets, domestic consumption should have higher correlation with world output than domestic output. For emerging economies these correlations have slightly declined in unconditional analysis. </w:t>
      </w:r>
    </w:p>
    <w:p w14:paraId="486C2C49" w14:textId="77777777" w:rsidR="00A3245F" w:rsidRDefault="00A3245F" w:rsidP="00A3245F">
      <w:pPr>
        <w:rPr>
          <w:lang w:val="en-US"/>
        </w:rPr>
      </w:pPr>
    </w:p>
    <w:p w14:paraId="0A75AE75" w14:textId="2FDE5330" w:rsidR="00A3245F" w:rsidRDefault="00A3245F" w:rsidP="00A3245F">
      <w:pPr>
        <w:rPr>
          <w:lang w:val="en-US"/>
        </w:rPr>
      </w:pPr>
      <w:r>
        <w:rPr>
          <w:lang w:val="en-US"/>
        </w:rPr>
        <w:t xml:space="preserve">Formal analysis looks at role of common </w:t>
      </w:r>
      <w:proofErr w:type="spellStart"/>
      <w:r>
        <w:rPr>
          <w:lang w:val="en-US"/>
        </w:rPr>
        <w:t>hsocks</w:t>
      </w:r>
      <w:proofErr w:type="spellEnd"/>
      <w:r>
        <w:rPr>
          <w:lang w:val="en-US"/>
        </w:rPr>
        <w:t xml:space="preserve"> and increased trade and financial linkages. </w:t>
      </w:r>
    </w:p>
    <w:p w14:paraId="3FED17ED" w14:textId="77777777" w:rsidR="004848C5" w:rsidRDefault="004848C5" w:rsidP="00A3245F">
      <w:pPr>
        <w:rPr>
          <w:lang w:val="en-US"/>
        </w:rPr>
      </w:pPr>
    </w:p>
    <w:p w14:paraId="0B489CAB" w14:textId="105E4DD5" w:rsidR="004848C5" w:rsidRDefault="004848C5" w:rsidP="00A3245F">
      <w:pPr>
        <w:rPr>
          <w:lang w:val="en-US"/>
        </w:rPr>
      </w:pPr>
      <w:r>
        <w:rPr>
          <w:lang w:val="en-US"/>
        </w:rPr>
        <w:lastRenderedPageBreak/>
        <w:t xml:space="preserve">In eq4, since it is not possible to share the risk associated with common fluctuations, the component of each variable is subtracted from the corresponding national variable. The difference captures the idiosyncratic fluctuations in that variable, with error terms assumed to be stationary and capturing measurement error. </w:t>
      </w:r>
    </w:p>
    <w:p w14:paraId="0444CF0C" w14:textId="77777777" w:rsidR="004848C5" w:rsidRDefault="004848C5" w:rsidP="00A3245F">
      <w:pPr>
        <w:rPr>
          <w:lang w:val="en-US"/>
        </w:rPr>
      </w:pPr>
    </w:p>
    <w:p w14:paraId="2DDF9085" w14:textId="6482EE8C" w:rsidR="004848C5" w:rsidRDefault="004848C5" w:rsidP="00A3245F">
      <w:pPr>
        <w:rPr>
          <w:lang w:val="en-US"/>
        </w:rPr>
      </w:pPr>
      <w:r>
        <w:rPr>
          <w:lang w:val="en-US"/>
        </w:rPr>
        <w:t xml:space="preserve">In a model with perfect risk sharing, the coefficient on beta should be zero – changes in differential output should have no impact on differential consumption. </w:t>
      </w:r>
    </w:p>
    <w:p w14:paraId="2443F17E" w14:textId="77777777" w:rsidR="004848C5" w:rsidRDefault="004848C5" w:rsidP="00A3245F">
      <w:pPr>
        <w:rPr>
          <w:lang w:val="en-US"/>
        </w:rPr>
      </w:pPr>
    </w:p>
    <w:p w14:paraId="1914EA5A" w14:textId="0B95D3BC" w:rsidR="004848C5" w:rsidRDefault="004848C5" w:rsidP="00A3245F">
      <w:pPr>
        <w:rPr>
          <w:lang w:val="en-US"/>
        </w:rPr>
      </w:pPr>
      <w:r>
        <w:rPr>
          <w:lang w:val="en-US"/>
        </w:rPr>
        <w:t>Approaches to model consumption risk:</w:t>
      </w:r>
    </w:p>
    <w:p w14:paraId="2B67B889" w14:textId="4F261884" w:rsidR="004848C5" w:rsidRDefault="004848C5" w:rsidP="004848C5">
      <w:pPr>
        <w:pStyle w:val="ListParagraph"/>
        <w:numPr>
          <w:ilvl w:val="0"/>
          <w:numId w:val="4"/>
        </w:numPr>
        <w:rPr>
          <w:lang w:val="en-US"/>
        </w:rPr>
      </w:pPr>
      <w:r>
        <w:rPr>
          <w:lang w:val="en-US"/>
        </w:rPr>
        <w:t>Year-by-year estimation of a cross-section regression of the country-specific component of consumption growth (as a deviation from domestic consumption growth from world consumption growth) on country-specific component of output growth.</w:t>
      </w:r>
    </w:p>
    <w:p w14:paraId="3C9D1C0A" w14:textId="695473DE" w:rsidR="00DA4E5E" w:rsidRDefault="00DA4E5E" w:rsidP="00DA4E5E">
      <w:pPr>
        <w:pStyle w:val="ListParagraph"/>
        <w:rPr>
          <w:lang w:val="en-US"/>
        </w:rPr>
      </w:pPr>
      <w:r>
        <w:rPr>
          <w:lang w:val="en-US"/>
        </w:rPr>
        <w:t xml:space="preserve">Trace evolution of estimates (1-B) </w:t>
      </w:r>
      <w:proofErr w:type="gramStart"/>
      <w:r>
        <w:rPr>
          <w:lang w:val="en-US"/>
        </w:rPr>
        <w:t>in order to</w:t>
      </w:r>
      <w:proofErr w:type="gramEnd"/>
      <w:r>
        <w:rPr>
          <w:lang w:val="en-US"/>
        </w:rPr>
        <w:t xml:space="preserve"> evaluate changes in extent of risk sharing. 0 = no risk sharing, 1 = perfect risk sharing. Smoothed over a 9-year rolling window. </w:t>
      </w:r>
    </w:p>
    <w:p w14:paraId="7FFACBE4" w14:textId="4C2255C5" w:rsidR="00FD2C70" w:rsidRPr="00FD2C70" w:rsidRDefault="00DA4E5E" w:rsidP="00FD2C70">
      <w:pPr>
        <w:pStyle w:val="ListParagraph"/>
        <w:rPr>
          <w:lang w:val="en-US"/>
        </w:rPr>
      </w:pPr>
      <w:r>
        <w:rPr>
          <w:lang w:val="en-US"/>
        </w:rPr>
        <w:t xml:space="preserve">Figure 1 shows increasing risk sharing in globalization period, but lower than </w:t>
      </w:r>
      <w:proofErr w:type="spellStart"/>
      <w:r>
        <w:rPr>
          <w:lang w:val="en-US"/>
        </w:rPr>
        <w:t>elvels</w:t>
      </w:r>
      <w:proofErr w:type="spellEnd"/>
      <w:r>
        <w:rPr>
          <w:lang w:val="en-US"/>
        </w:rPr>
        <w:t xml:space="preserve"> observed during late 1970’s. Degree of risk sharing is highest among industrial countries than other groups. Limited evidence for increased risk sharing among EM &amp; DC. </w:t>
      </w:r>
      <w:r w:rsidR="00FD2C70">
        <w:rPr>
          <w:rStyle w:val="Strong"/>
        </w:rPr>
        <w:t>Cross-section regressions (year-by-year)</w:t>
      </w:r>
    </w:p>
    <w:p w14:paraId="1CB563B5" w14:textId="77777777" w:rsidR="00FD2C70" w:rsidRDefault="00FD2C70" w:rsidP="00DA4E5E">
      <w:pPr>
        <w:pStyle w:val="ListParagraph"/>
        <w:rPr>
          <w:lang w:val="en-US"/>
        </w:rPr>
      </w:pPr>
    </w:p>
    <w:p w14:paraId="7B9AC642" w14:textId="1985C787" w:rsidR="004848C5" w:rsidRDefault="004848C5" w:rsidP="004848C5">
      <w:pPr>
        <w:pStyle w:val="ListParagraph"/>
        <w:numPr>
          <w:ilvl w:val="0"/>
          <w:numId w:val="4"/>
        </w:numPr>
        <w:rPr>
          <w:lang w:val="en-US"/>
        </w:rPr>
      </w:pPr>
      <w:r>
        <w:rPr>
          <w:lang w:val="en-US"/>
        </w:rPr>
        <w:t xml:space="preserve">Run same regression equation for each country over a given period. </w:t>
      </w:r>
      <w:r w:rsidR="00DA4E5E">
        <w:rPr>
          <w:lang w:val="en-US"/>
        </w:rPr>
        <w:t xml:space="preserve">Coefficient on world consumption should be one and national output should be zero. Focus only on coefficient associated with consumption – compute median of </w:t>
      </w:r>
      <w:proofErr w:type="spellStart"/>
      <w:r w:rsidR="00DA4E5E">
        <w:rPr>
          <w:lang w:val="en-US"/>
        </w:rPr>
        <w:t>Bt</w:t>
      </w:r>
      <w:proofErr w:type="spellEnd"/>
      <w:r w:rsidR="00DA4E5E">
        <w:rPr>
          <w:lang w:val="en-US"/>
        </w:rPr>
        <w:t xml:space="preserve"> over the country sample. Extent of risk sharing per year refers to the median of 1-Bt of each respective country group and Bt is the regression for the country over 1961-1969. Only industrial countries see increase in risk sharing during globalization period. </w:t>
      </w:r>
    </w:p>
    <w:p w14:paraId="4F9B3894" w14:textId="22353C19" w:rsidR="00FD2C70" w:rsidRPr="00FD2C70" w:rsidRDefault="00FD2C70" w:rsidP="00FD2C70">
      <w:pPr>
        <w:pStyle w:val="ListParagraph"/>
        <w:rPr>
          <w:b/>
          <w:bCs/>
          <w:lang w:val="en-US"/>
        </w:rPr>
      </w:pPr>
      <w:r w:rsidRPr="00FD2C70">
        <w:rPr>
          <w:b/>
          <w:bCs/>
        </w:rPr>
        <w:t>Time-series regressions (country-by-country)</w:t>
      </w:r>
    </w:p>
    <w:p w14:paraId="373D995A" w14:textId="3A92B2A2" w:rsidR="005D4D20" w:rsidRDefault="00DA4E5E" w:rsidP="005D4D20">
      <w:pPr>
        <w:pStyle w:val="ListParagraph"/>
        <w:numPr>
          <w:ilvl w:val="0"/>
          <w:numId w:val="4"/>
        </w:numPr>
        <w:rPr>
          <w:lang w:val="en-US"/>
        </w:rPr>
      </w:pPr>
      <w:r>
        <w:rPr>
          <w:lang w:val="en-US"/>
        </w:rPr>
        <w:t xml:space="preserve">Panel Regression. </w:t>
      </w:r>
      <w:r w:rsidR="00FD2C70">
        <w:rPr>
          <w:lang w:val="en-US"/>
        </w:rPr>
        <w:t xml:space="preserve">Run same regression based on eq 4 but estimate it over </w:t>
      </w:r>
      <w:proofErr w:type="gramStart"/>
      <w:r w:rsidR="00FD2C70">
        <w:rPr>
          <w:lang w:val="en-US"/>
        </w:rPr>
        <w:t>9 year</w:t>
      </w:r>
      <w:proofErr w:type="gramEnd"/>
      <w:r w:rsidR="00FD2C70">
        <w:rPr>
          <w:lang w:val="en-US"/>
        </w:rPr>
        <w:t xml:space="preserve"> rolling panels, allowing for time and country information to be accounted for. </w:t>
      </w:r>
      <w:r w:rsidR="005D4D20">
        <w:rPr>
          <w:lang w:val="en-US"/>
        </w:rPr>
        <w:t xml:space="preserve">For developed countries, variance of idiosyncratic output fluctuations (y-Y) </w:t>
      </w:r>
      <w:proofErr w:type="gramStart"/>
      <w:r w:rsidR="005D4D20">
        <w:rPr>
          <w:lang w:val="en-US"/>
        </w:rPr>
        <w:t>are</w:t>
      </w:r>
      <w:proofErr w:type="gramEnd"/>
      <w:r w:rsidR="005D4D20">
        <w:rPr>
          <w:lang w:val="en-US"/>
        </w:rPr>
        <w:t xml:space="preserve"> stable, indicating that results are not due to changes in output fluctuations, however this does not hold for other groups. </w:t>
      </w:r>
    </w:p>
    <w:p w14:paraId="120D24B6" w14:textId="77777777" w:rsidR="005D4D20" w:rsidRDefault="005D4D20" w:rsidP="005D4D20">
      <w:pPr>
        <w:rPr>
          <w:lang w:val="en-US"/>
        </w:rPr>
      </w:pPr>
    </w:p>
    <w:p w14:paraId="16B21CE2" w14:textId="4BC54F60" w:rsidR="005D4D20" w:rsidRDefault="005D4D20" w:rsidP="005D4D20">
      <w:pPr>
        <w:rPr>
          <w:lang w:val="en-US"/>
        </w:rPr>
      </w:pPr>
      <w:r>
        <w:rPr>
          <w:lang w:val="en-US"/>
        </w:rPr>
        <w:t>Takeaway: Industrial countries have increased risk sharing, while others have not.</w:t>
      </w:r>
    </w:p>
    <w:p w14:paraId="54AF8004" w14:textId="77777777" w:rsidR="005D4D20" w:rsidRDefault="005D4D20" w:rsidP="005D4D20">
      <w:pPr>
        <w:rPr>
          <w:lang w:val="en-US"/>
        </w:rPr>
      </w:pPr>
    </w:p>
    <w:p w14:paraId="0099F06B" w14:textId="13AF6AE4" w:rsidR="005D4D20" w:rsidRDefault="005D4D20" w:rsidP="005D4D20">
      <w:pPr>
        <w:rPr>
          <w:lang w:val="en-US"/>
        </w:rPr>
      </w:pPr>
      <w:r>
        <w:rPr>
          <w:lang w:val="en-US"/>
        </w:rPr>
        <w:lastRenderedPageBreak/>
        <w:t xml:space="preserve">Decreases in measurement error should lead to a </w:t>
      </w:r>
      <w:proofErr w:type="gramStart"/>
      <w:r>
        <w:rPr>
          <w:lang w:val="en-US"/>
        </w:rPr>
        <w:t>delinking  (</w:t>
      </w:r>
      <w:proofErr w:type="gramEnd"/>
      <w:r>
        <w:rPr>
          <w:lang w:val="en-US"/>
        </w:rPr>
        <w:t xml:space="preserve">higher estimates for risk sharing) over time, however this does not happen. Authors acknowledge use of GNI as an alternative (with income reflecting flows from </w:t>
      </w:r>
      <w:proofErr w:type="gramStart"/>
      <w:r>
        <w:rPr>
          <w:lang w:val="en-US"/>
        </w:rPr>
        <w:t>internationally-held</w:t>
      </w:r>
      <w:proofErr w:type="gramEnd"/>
      <w:r>
        <w:rPr>
          <w:lang w:val="en-US"/>
        </w:rPr>
        <w:t xml:space="preserve"> assets), however consumption is preferred. </w:t>
      </w:r>
    </w:p>
    <w:p w14:paraId="7BD5E497" w14:textId="77777777" w:rsidR="005D4D20" w:rsidRDefault="005D4D20" w:rsidP="005D4D20">
      <w:pPr>
        <w:rPr>
          <w:lang w:val="en-US"/>
        </w:rPr>
      </w:pPr>
    </w:p>
    <w:p w14:paraId="5CD1BE49" w14:textId="27F10CE8" w:rsidR="005D4D20" w:rsidRDefault="005D4D20" w:rsidP="005D4D20">
      <w:pPr>
        <w:pStyle w:val="ListParagraph"/>
        <w:numPr>
          <w:ilvl w:val="0"/>
          <w:numId w:val="3"/>
        </w:numPr>
        <w:rPr>
          <w:b/>
          <w:bCs/>
          <w:lang w:val="en-US"/>
        </w:rPr>
      </w:pPr>
      <w:r>
        <w:rPr>
          <w:b/>
          <w:bCs/>
          <w:lang w:val="en-US"/>
        </w:rPr>
        <w:t>Financial globalization and risk sharing</w:t>
      </w:r>
    </w:p>
    <w:p w14:paraId="508644BD" w14:textId="77777777" w:rsidR="005D4D20" w:rsidRDefault="005D4D20" w:rsidP="005D4D20">
      <w:pPr>
        <w:rPr>
          <w:b/>
          <w:bCs/>
          <w:lang w:val="en-US"/>
        </w:rPr>
      </w:pPr>
    </w:p>
    <w:p w14:paraId="1597D29B" w14:textId="40900E23" w:rsidR="005D4D20" w:rsidRDefault="005D4D20" w:rsidP="005D4D20">
      <w:pPr>
        <w:rPr>
          <w:lang w:val="en-US"/>
        </w:rPr>
      </w:pPr>
      <w:r>
        <w:rPr>
          <w:lang w:val="en-US"/>
        </w:rPr>
        <w:t xml:space="preserve">Uses a model than augments standard risk sharing regression with an interaction variable that captures effect of financial globalization. </w:t>
      </w:r>
    </w:p>
    <w:p w14:paraId="1D48942D" w14:textId="77777777" w:rsidR="005D4D20" w:rsidRDefault="005D4D20" w:rsidP="005D4D20">
      <w:pPr>
        <w:rPr>
          <w:lang w:val="en-US"/>
        </w:rPr>
      </w:pPr>
    </w:p>
    <w:p w14:paraId="53AA2CAB" w14:textId="2DCD064B" w:rsidR="005D4D20" w:rsidRDefault="005D4D20" w:rsidP="005D4D20">
      <w:pPr>
        <w:rPr>
          <w:lang w:val="en-US"/>
        </w:rPr>
      </w:pPr>
      <w:r>
        <w:rPr>
          <w:lang w:val="en-US"/>
        </w:rPr>
        <w:t>Control for financial openness interaction with fluctuations. A negative interaction term coefficient</w:t>
      </w:r>
      <w:r w:rsidR="00FA1EDD">
        <w:rPr>
          <w:lang w:val="en-US"/>
        </w:rPr>
        <w:t xml:space="preserve"> indicates more openness led to greater risk-sharing</w:t>
      </w:r>
      <w:r w:rsidR="004D5F77">
        <w:rPr>
          <w:lang w:val="en-US"/>
        </w:rPr>
        <w:t>.</w:t>
      </w:r>
    </w:p>
    <w:p w14:paraId="4F04C3D1" w14:textId="77777777" w:rsidR="004D5F77" w:rsidRDefault="004D5F77" w:rsidP="005D4D20">
      <w:pPr>
        <w:rPr>
          <w:lang w:val="en-US"/>
        </w:rPr>
      </w:pPr>
    </w:p>
    <w:p w14:paraId="151801B2" w14:textId="667566E3" w:rsidR="004D5F77" w:rsidRDefault="004D5F77" w:rsidP="005D4D20">
      <w:pPr>
        <w:rPr>
          <w:lang w:val="en-US"/>
        </w:rPr>
      </w:pPr>
      <w:r>
        <w:rPr>
          <w:lang w:val="en-US"/>
        </w:rPr>
        <w:t xml:space="preserve">Table 1a and 1b: use de jure and de facto measures as well as combinations. </w:t>
      </w:r>
    </w:p>
    <w:p w14:paraId="2A8DE6FD" w14:textId="77777777" w:rsidR="004D5F77" w:rsidRDefault="004D5F77" w:rsidP="005D4D20">
      <w:pPr>
        <w:rPr>
          <w:lang w:val="en-US"/>
        </w:rPr>
      </w:pPr>
    </w:p>
    <w:p w14:paraId="4B008D37" w14:textId="1A5D6806" w:rsidR="004D5F77" w:rsidRDefault="004D5F77" w:rsidP="005D4D20">
      <w:pPr>
        <w:rPr>
          <w:lang w:val="en-US"/>
        </w:rPr>
      </w:pPr>
      <w:r>
        <w:rPr>
          <w:lang w:val="en-US"/>
        </w:rPr>
        <w:t>Over full sample. None of interaction coefficients were significant with expected signs, except for Chinn-Ito measure for emerging markets, but this was not robust.</w:t>
      </w:r>
    </w:p>
    <w:p w14:paraId="3987369E" w14:textId="77777777" w:rsidR="004D5F77" w:rsidRDefault="004D5F77" w:rsidP="005D4D20">
      <w:pPr>
        <w:rPr>
          <w:lang w:val="en-US"/>
        </w:rPr>
      </w:pPr>
    </w:p>
    <w:p w14:paraId="27ECFF28" w14:textId="48023130" w:rsidR="004D5F77" w:rsidRPr="005D4D20" w:rsidRDefault="004D5F77" w:rsidP="005D4D20">
      <w:pPr>
        <w:rPr>
          <w:lang w:val="en-US"/>
        </w:rPr>
      </w:pPr>
      <w:r>
        <w:rPr>
          <w:lang w:val="en-US"/>
        </w:rPr>
        <w:t xml:space="preserve">Restricted globalization sample indicates higher levels of gross external assets and liabilities improve risk sharing for industrial countries and developed </w:t>
      </w:r>
      <w:proofErr w:type="gramStart"/>
      <w:r>
        <w:rPr>
          <w:lang w:val="en-US"/>
        </w:rPr>
        <w:t>countries ,</w:t>
      </w:r>
      <w:proofErr w:type="gramEnd"/>
      <w:r>
        <w:rPr>
          <w:lang w:val="en-US"/>
        </w:rPr>
        <w:t xml:space="preserve"> however de jure changes are not associated with significant changes in extent of risk sharing. For EM’s, financial integration appears to have no significant impact in globalization period – risk sharing benefits have accrued mainly to industrial countries.n</w:t>
      </w:r>
    </w:p>
    <w:p w14:paraId="1772A554" w14:textId="77777777" w:rsidR="005D4D20" w:rsidRDefault="005D4D20" w:rsidP="005D4D20">
      <w:pPr>
        <w:rPr>
          <w:lang w:val="en-US"/>
        </w:rPr>
      </w:pPr>
    </w:p>
    <w:p w14:paraId="6057028B" w14:textId="77777777" w:rsidR="005D4D20" w:rsidRPr="005D4D20" w:rsidRDefault="005D4D20" w:rsidP="005D4D20">
      <w:pPr>
        <w:rPr>
          <w:lang w:val="en-US"/>
        </w:rPr>
      </w:pPr>
    </w:p>
    <w:p w14:paraId="791175F4" w14:textId="77777777" w:rsidR="00DA4E5E" w:rsidRPr="004848C5" w:rsidRDefault="00DA4E5E" w:rsidP="00DA4E5E">
      <w:pPr>
        <w:pStyle w:val="ListParagraph"/>
        <w:rPr>
          <w:lang w:val="en-US"/>
        </w:rPr>
      </w:pPr>
    </w:p>
    <w:p w14:paraId="4AE75790" w14:textId="77777777" w:rsidR="00A3245F" w:rsidRDefault="00A3245F" w:rsidP="00A3245F">
      <w:pPr>
        <w:rPr>
          <w:lang w:val="en-US"/>
        </w:rPr>
      </w:pPr>
    </w:p>
    <w:p w14:paraId="1514E25F" w14:textId="77777777" w:rsidR="00A3245F" w:rsidRPr="00A3245F" w:rsidRDefault="00A3245F" w:rsidP="00A3245F">
      <w:pPr>
        <w:rPr>
          <w:lang w:val="en-US"/>
        </w:rPr>
      </w:pPr>
    </w:p>
    <w:sectPr w:rsidR="00A3245F" w:rsidRPr="00A324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07B9"/>
    <w:multiLevelType w:val="hybridMultilevel"/>
    <w:tmpl w:val="B3E6081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EA401DE"/>
    <w:multiLevelType w:val="hybridMultilevel"/>
    <w:tmpl w:val="509E0EEE"/>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D551C05"/>
    <w:multiLevelType w:val="hybridMultilevel"/>
    <w:tmpl w:val="F768EA1C"/>
    <w:lvl w:ilvl="0" w:tplc="6DB2B93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4901A4F"/>
    <w:multiLevelType w:val="hybridMultilevel"/>
    <w:tmpl w:val="42B699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78686287">
    <w:abstractNumId w:val="2"/>
  </w:num>
  <w:num w:numId="2" w16cid:durableId="1775780215">
    <w:abstractNumId w:val="3"/>
  </w:num>
  <w:num w:numId="3" w16cid:durableId="1963029972">
    <w:abstractNumId w:val="1"/>
  </w:num>
  <w:num w:numId="4" w16cid:durableId="2093157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6B7"/>
    <w:rsid w:val="001D09D2"/>
    <w:rsid w:val="002A6B48"/>
    <w:rsid w:val="004571DB"/>
    <w:rsid w:val="004848C5"/>
    <w:rsid w:val="004D5F77"/>
    <w:rsid w:val="005D4D20"/>
    <w:rsid w:val="00837F95"/>
    <w:rsid w:val="00855D66"/>
    <w:rsid w:val="009C56B7"/>
    <w:rsid w:val="00A3245F"/>
    <w:rsid w:val="00C40509"/>
    <w:rsid w:val="00DA4E5E"/>
    <w:rsid w:val="00DB23F2"/>
    <w:rsid w:val="00E54B83"/>
    <w:rsid w:val="00EA4284"/>
    <w:rsid w:val="00EF246E"/>
    <w:rsid w:val="00F91F8B"/>
    <w:rsid w:val="00FA1EDD"/>
    <w:rsid w:val="00FD2C7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9D34A0A"/>
  <w15:chartTrackingRefBased/>
  <w15:docId w15:val="{B8F91EBC-65F1-704E-8B77-89EB7AC97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1DB"/>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9C56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56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6B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6B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C56B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C56B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C56B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C56B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C56B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6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6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6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6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6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6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6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6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6B7"/>
    <w:rPr>
      <w:rFonts w:eastAsiaTheme="majorEastAsia" w:cstheme="majorBidi"/>
      <w:color w:val="272727" w:themeColor="text1" w:themeTint="D8"/>
    </w:rPr>
  </w:style>
  <w:style w:type="paragraph" w:styleId="Title">
    <w:name w:val="Title"/>
    <w:basedOn w:val="Normal"/>
    <w:next w:val="Normal"/>
    <w:link w:val="TitleChar"/>
    <w:uiPriority w:val="10"/>
    <w:qFormat/>
    <w:rsid w:val="009C5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6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6B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6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6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56B7"/>
    <w:rPr>
      <w:rFonts w:ascii="Times New Roman" w:hAnsi="Times New Roman"/>
      <w:i/>
      <w:iCs/>
      <w:color w:val="404040" w:themeColor="text1" w:themeTint="BF"/>
    </w:rPr>
  </w:style>
  <w:style w:type="paragraph" w:styleId="ListParagraph">
    <w:name w:val="List Paragraph"/>
    <w:basedOn w:val="Normal"/>
    <w:uiPriority w:val="34"/>
    <w:qFormat/>
    <w:rsid w:val="009C56B7"/>
    <w:pPr>
      <w:ind w:left="720"/>
      <w:contextualSpacing/>
    </w:pPr>
  </w:style>
  <w:style w:type="character" w:styleId="IntenseEmphasis">
    <w:name w:val="Intense Emphasis"/>
    <w:basedOn w:val="DefaultParagraphFont"/>
    <w:uiPriority w:val="21"/>
    <w:qFormat/>
    <w:rsid w:val="009C56B7"/>
    <w:rPr>
      <w:i/>
      <w:iCs/>
      <w:color w:val="0F4761" w:themeColor="accent1" w:themeShade="BF"/>
    </w:rPr>
  </w:style>
  <w:style w:type="paragraph" w:styleId="IntenseQuote">
    <w:name w:val="Intense Quote"/>
    <w:basedOn w:val="Normal"/>
    <w:next w:val="Normal"/>
    <w:link w:val="IntenseQuoteChar"/>
    <w:uiPriority w:val="30"/>
    <w:qFormat/>
    <w:rsid w:val="009C56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6B7"/>
    <w:rPr>
      <w:rFonts w:ascii="Times New Roman" w:hAnsi="Times New Roman"/>
      <w:i/>
      <w:iCs/>
      <w:color w:val="0F4761" w:themeColor="accent1" w:themeShade="BF"/>
    </w:rPr>
  </w:style>
  <w:style w:type="character" w:styleId="IntenseReference">
    <w:name w:val="Intense Reference"/>
    <w:basedOn w:val="DefaultParagraphFont"/>
    <w:uiPriority w:val="32"/>
    <w:qFormat/>
    <w:rsid w:val="009C56B7"/>
    <w:rPr>
      <w:b/>
      <w:bCs/>
      <w:smallCaps/>
      <w:color w:val="0F4761" w:themeColor="accent1" w:themeShade="BF"/>
      <w:spacing w:val="5"/>
    </w:rPr>
  </w:style>
  <w:style w:type="paragraph" w:customStyle="1" w:styleId="font-claude-response-body">
    <w:name w:val="font-claude-response-body"/>
    <w:basedOn w:val="Normal"/>
    <w:rsid w:val="00FD2C70"/>
    <w:pPr>
      <w:spacing w:before="100" w:beforeAutospacing="1" w:after="100" w:afterAutospacing="1" w:line="240" w:lineRule="auto"/>
      <w:jc w:val="left"/>
    </w:pPr>
    <w:rPr>
      <w:rFonts w:eastAsia="Times New Roman" w:cs="Times New Roman"/>
      <w:lang w:eastAsia="en-GB"/>
    </w:rPr>
  </w:style>
  <w:style w:type="character" w:styleId="Strong">
    <w:name w:val="Strong"/>
    <w:basedOn w:val="DefaultParagraphFont"/>
    <w:uiPriority w:val="22"/>
    <w:qFormat/>
    <w:rsid w:val="00FD2C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4</Pages>
  <Words>1036</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Smuts</dc:creator>
  <cp:keywords/>
  <dc:description/>
  <cp:lastModifiedBy>Jan Smuts</cp:lastModifiedBy>
  <cp:revision>1</cp:revision>
  <dcterms:created xsi:type="dcterms:W3CDTF">2026-03-11T07:23:00Z</dcterms:created>
  <dcterms:modified xsi:type="dcterms:W3CDTF">2026-03-11T12:50:00Z</dcterms:modified>
</cp:coreProperties>
</file>