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22F6" w14:textId="7399F5B4" w:rsidR="00E54B83" w:rsidRDefault="00EC1500">
      <w:pPr>
        <w:rPr>
          <w:lang w:val="en-US"/>
        </w:rPr>
      </w:pPr>
      <w:r>
        <w:rPr>
          <w:lang w:val="en-US"/>
        </w:rPr>
        <w:t>Thesis notes:</w:t>
      </w:r>
    </w:p>
    <w:p w14:paraId="1F0E3A3A" w14:textId="77777777" w:rsidR="00EC1500" w:rsidRDefault="00EC1500">
      <w:pPr>
        <w:rPr>
          <w:lang w:val="en-US"/>
        </w:rPr>
      </w:pPr>
    </w:p>
    <w:p w14:paraId="0B050F8B" w14:textId="77777777" w:rsidR="00EC1500" w:rsidRDefault="00EC1500">
      <w:pPr>
        <w:rPr>
          <w:lang w:val="en-US"/>
        </w:rPr>
      </w:pPr>
    </w:p>
    <w:p w14:paraId="02E945FB" w14:textId="769EA00F" w:rsidR="00EC1500" w:rsidRPr="00EC1500" w:rsidRDefault="00EC1500">
      <w:pPr>
        <w:rPr>
          <w:b/>
          <w:bCs/>
          <w:lang w:val="en-US"/>
        </w:rPr>
      </w:pPr>
      <w:r w:rsidRPr="00EC1500">
        <w:rPr>
          <w:b/>
          <w:bCs/>
          <w:lang w:val="en-US"/>
        </w:rPr>
        <w:t>Output Gap Estimation</w:t>
      </w:r>
    </w:p>
    <w:p w14:paraId="4C9C3267" w14:textId="442DA4F7" w:rsidR="00EC1500" w:rsidRDefault="00EC1500">
      <w:pPr>
        <w:rPr>
          <w:lang w:val="en-US"/>
        </w:rPr>
      </w:pPr>
      <w:r>
        <w:rPr>
          <w:lang w:val="en-US"/>
        </w:rPr>
        <w:t xml:space="preserve">For the output gap, we can either use the HP filtered </w:t>
      </w:r>
      <w:r w:rsidR="00B86D97">
        <w:rPr>
          <w:lang w:val="en-US"/>
        </w:rPr>
        <w:t xml:space="preserve">business cycle indicator </w:t>
      </w:r>
      <w:r>
        <w:rPr>
          <w:lang w:val="en-US"/>
        </w:rPr>
        <w:t xml:space="preserve">or we can use QLF of SARB’s GDP estimates. </w:t>
      </w:r>
    </w:p>
    <w:p w14:paraId="0211DA8B" w14:textId="77777777" w:rsidR="00EC1500" w:rsidRDefault="00EC1500">
      <w:pPr>
        <w:rPr>
          <w:lang w:val="en-US"/>
        </w:rPr>
      </w:pPr>
    </w:p>
    <w:p w14:paraId="637D4159" w14:textId="1DE04303" w:rsidR="00EC1500" w:rsidRDefault="00B86D97">
      <w:pPr>
        <w:rPr>
          <w:lang w:val="en-US"/>
        </w:rPr>
      </w:pPr>
      <w:r>
        <w:rPr>
          <w:lang w:val="en-US"/>
        </w:rPr>
        <w:t>Perhaps using the leading indicator as the expected and the current indicator as the dependent variable?</w:t>
      </w:r>
    </w:p>
    <w:p w14:paraId="661BD537" w14:textId="77777777" w:rsidR="00B86D97" w:rsidRDefault="00B86D97">
      <w:pPr>
        <w:rPr>
          <w:lang w:val="en-US"/>
        </w:rPr>
      </w:pPr>
    </w:p>
    <w:p w14:paraId="3B6B47A3" w14:textId="594261E7" w:rsidR="00B86D97" w:rsidRDefault="00B86D97">
      <w:r>
        <w:t>“A composite business cycle indicator is compiled by integrating different economic indicators into a single index, according to their timing relation to the business cycle.”</w:t>
      </w:r>
    </w:p>
    <w:p w14:paraId="04A296D8" w14:textId="77777777" w:rsidR="00703643" w:rsidRDefault="00703643"/>
    <w:p w14:paraId="442DE98C" w14:textId="2893EB18" w:rsidR="00703643" w:rsidRDefault="00703643">
      <w:r>
        <w:t xml:space="preserve">**Presample initialisation**: the first *p* observations (where *p* is the lag order) are used to initialise the model and are not themselves predicted — they form the starting information set. Your effective estimation sample therefore starts at observation p+1, and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rPr>
          <m:t>)</m:t>
        </m:r>
      </m:oMath>
      <w:r>
        <w:t>is always conditioned on a full set of *p* lags. This is the standard approach and what most VAR software does automatically.</w:t>
      </w:r>
    </w:p>
    <w:p w14:paraId="356CCFBF" w14:textId="77777777" w:rsidR="00703643" w:rsidRDefault="00703643"/>
    <w:p w14:paraId="58AEA6A1" w14:textId="3F798894" w:rsidR="00703643" w:rsidRPr="00E36C04" w:rsidRDefault="00703643">
      <w:pPr>
        <w:rPr>
          <w:b/>
          <w:bCs/>
        </w:rPr>
      </w:pPr>
      <w:r w:rsidRPr="00E36C04">
        <w:rPr>
          <w:b/>
          <w:bCs/>
        </w:rPr>
        <w:t>Interpolation of SARB GDP quartertly Data</w:t>
      </w:r>
    </w:p>
    <w:p w14:paraId="5A5D307D" w14:textId="77777777" w:rsidR="00703643" w:rsidRDefault="00703643" w:rsidP="00703643">
      <w:pPr>
        <w:autoSpaceDE w:val="0"/>
        <w:autoSpaceDN w:val="0"/>
        <w:adjustRightInd w:val="0"/>
        <w:spacing w:line="240" w:lineRule="auto"/>
        <w:jc w:val="left"/>
        <w:rPr>
          <w:rFonts w:cs="Times New Roman"/>
          <w:i/>
          <w:iCs/>
          <w:sz w:val="18"/>
          <w:szCs w:val="18"/>
          <w:lang w:val="en-GB"/>
        </w:rPr>
      </w:pPr>
      <w:r>
        <w:rPr>
          <w:rFonts w:cs="Times New Roman"/>
          <w:i/>
          <w:iCs/>
          <w:sz w:val="18"/>
          <w:szCs w:val="18"/>
          <w:lang w:val="en-GB"/>
        </w:rPr>
        <w:t>The critical assumption of the regression-based methods is that the linear relationship between the</w:t>
      </w:r>
    </w:p>
    <w:p w14:paraId="636ECC5D" w14:textId="4419FFDB" w:rsidR="00703643" w:rsidRDefault="00703643" w:rsidP="00703643">
      <w:pPr>
        <w:rPr>
          <w:rFonts w:cs="Times New Roman"/>
          <w:i/>
          <w:iCs/>
          <w:sz w:val="18"/>
          <w:szCs w:val="18"/>
          <w:lang w:val="en-GB"/>
        </w:rPr>
      </w:pPr>
      <w:r>
        <w:rPr>
          <w:rFonts w:cs="Times New Roman"/>
          <w:i/>
          <w:iCs/>
          <w:sz w:val="18"/>
          <w:szCs w:val="18"/>
          <w:lang w:val="en-GB"/>
        </w:rPr>
        <w:t>annual series CX and y</w:t>
      </w:r>
      <w:r>
        <w:rPr>
          <w:rFonts w:cs="Times New Roman"/>
          <w:i/>
          <w:iCs/>
          <w:sz w:val="14"/>
          <w:szCs w:val="14"/>
          <w:lang w:val="en-GB"/>
        </w:rPr>
        <w:t xml:space="preserve">l </w:t>
      </w:r>
      <w:r>
        <w:rPr>
          <w:rFonts w:cs="Times New Roman"/>
          <w:i/>
          <w:iCs/>
          <w:sz w:val="18"/>
          <w:szCs w:val="18"/>
          <w:lang w:val="en-GB"/>
        </w:rPr>
        <w:t>also holds between the quarterly series X and y.</w:t>
      </w:r>
    </w:p>
    <w:p w14:paraId="0B89FF2E" w14:textId="77777777" w:rsidR="00E36C04" w:rsidRDefault="00E36C04" w:rsidP="00703643">
      <w:pPr>
        <w:rPr>
          <w:rFonts w:cs="Times New Roman"/>
          <w:i/>
          <w:iCs/>
          <w:sz w:val="18"/>
          <w:szCs w:val="18"/>
          <w:lang w:val="en-GB"/>
        </w:rPr>
      </w:pPr>
    </w:p>
    <w:p w14:paraId="1E2D44AB" w14:textId="77777777" w:rsidR="00E36C04" w:rsidRDefault="00E36C04" w:rsidP="00703643">
      <w:r>
        <w:t xml:space="preserve">Denton-Cholette Method: </w:t>
      </w:r>
    </w:p>
    <w:p w14:paraId="0B2664A2" w14:textId="278115C7" w:rsidR="00E36C04" w:rsidRDefault="00E36C04" w:rsidP="00703643">
      <w:r>
        <w:t>In the absence of any indicator series telling you how output moved within a quarter, smoothness is a reasonable agnostic assumption. It avoids imposing any spurious within-quarter dynamics. The Cholette (1984) refinement over the original Denton (1971) method corrects a bias that caused the original to drift away from the benchmark at the edges of the sample.</w:t>
      </w:r>
    </w:p>
    <w:p w14:paraId="2CA169B3" w14:textId="77777777" w:rsidR="00E36C04" w:rsidRDefault="00E36C04" w:rsidP="00703643"/>
    <w:p w14:paraId="4844A4DA" w14:textId="77777777" w:rsidR="00E36C04" w:rsidRDefault="00E36C04" w:rsidP="00E36C04">
      <w:pPr>
        <w:pStyle w:val="font-claude-response-body"/>
      </w:pPr>
      <w:r>
        <w:t xml:space="preserve">This second-differencing of the adjustment factor means the method is penalising </w:t>
      </w:r>
      <w:r>
        <w:rPr>
          <w:rStyle w:val="Emphasis"/>
        </w:rPr>
        <w:t>changes in the rate of change</w:t>
      </w:r>
      <w:r>
        <w:t xml:space="preserve"> of the adjustment, rather than just the change itself. The key consequence is that the adjustment factor is forced to behave more consistently near the edges of the sample — it can't spike or drift at the boundaries because doing so would create a large second difference that the objective function penalises heavily.</w:t>
      </w:r>
    </w:p>
    <w:p w14:paraId="0C750FBF" w14:textId="77777777" w:rsidR="00E36C04" w:rsidRDefault="00E36C04" w:rsidP="00E36C04">
      <w:pPr>
        <w:pStyle w:val="font-claude-response-body"/>
      </w:pPr>
      <w:r>
        <w:rPr>
          <w:rStyle w:val="Strong"/>
        </w:rPr>
        <w:lastRenderedPageBreak/>
        <w:t>Intuition for the boundary problem</w:t>
      </w:r>
    </w:p>
    <w:p w14:paraId="01E9CFFB" w14:textId="77777777" w:rsidR="00E36C04" w:rsidRDefault="00E36C04" w:rsidP="00E36C04">
      <w:pPr>
        <w:pStyle w:val="font-claude-response-body"/>
      </w:pPr>
      <w:r>
        <w:t>Think of it this way. With Denton, near the start of the sample the optimiser has little historical context to constrain the adjustment, so it can make a large adjustment in the first few months to satisfy the quarterly constraint and then smooth out. At the end of the sample, the same thing happens in reverse — the last quarter's constraint can be satisfied by a large movement in the final months. Cholette's second-difference criterion propagates smoothness requirements further into the boundaries, so the adjustment can't suddenly accelerate or decelerate just because it's running out of observations.</w:t>
      </w:r>
    </w:p>
    <w:p w14:paraId="783A8552" w14:textId="77777777" w:rsidR="00803932" w:rsidRDefault="00803932" w:rsidP="00E36C04">
      <w:pPr>
        <w:pStyle w:val="font-claude-response-body"/>
      </w:pPr>
    </w:p>
    <w:p w14:paraId="30567C18" w14:textId="001D6777" w:rsidR="00E36C04" w:rsidRDefault="00803932" w:rsidP="00703643">
      <w:pPr>
        <w:rPr>
          <w:rFonts w:cs="Times New Roman"/>
          <w:i/>
          <w:iCs/>
          <w:sz w:val="18"/>
          <w:szCs w:val="18"/>
          <w:lang w:val="en-GB"/>
        </w:rPr>
      </w:pPr>
      <w:r>
        <w:t>BCI is preferred on grounds of empirical stability and conceptual alignment with McCarthy's coincident-activity requirement, with the caveat that its composite construction introduces potential endogeneity with respect to financial conditions, which is partially mitigated by the recursive Cholesky ordering." That is an honest and defensible position.</w:t>
      </w:r>
    </w:p>
    <w:p w14:paraId="2FE32008" w14:textId="77777777" w:rsidR="00FA7362" w:rsidRDefault="00FA7362" w:rsidP="00703643">
      <w:pPr>
        <w:rPr>
          <w:rFonts w:cs="Times New Roman"/>
          <w:i/>
          <w:iCs/>
          <w:sz w:val="18"/>
          <w:szCs w:val="18"/>
          <w:lang w:val="en-GB"/>
        </w:rPr>
      </w:pPr>
    </w:p>
    <w:p w14:paraId="2CE60E39" w14:textId="3E175C25" w:rsidR="00FA7362" w:rsidRDefault="00FA7362" w:rsidP="00703643">
      <w:pPr>
        <w:rPr>
          <w:rFonts w:cs="Times New Roman"/>
          <w:i/>
          <w:iCs/>
          <w:sz w:val="18"/>
          <w:szCs w:val="18"/>
          <w:lang w:val="en-GB"/>
        </w:rPr>
      </w:pPr>
      <w:r>
        <w:rPr>
          <w:rFonts w:cs="Times New Roman"/>
          <w:i/>
          <w:iCs/>
          <w:sz w:val="18"/>
          <w:szCs w:val="18"/>
          <w:lang w:val="en-GB"/>
        </w:rPr>
        <w:t xml:space="preserve">We will use the BCI as our baseline and then run the </w:t>
      </w:r>
      <w:r w:rsidR="00CF1838">
        <w:rPr>
          <w:rFonts w:cs="Times New Roman"/>
          <w:i/>
          <w:iCs/>
          <w:sz w:val="18"/>
          <w:szCs w:val="18"/>
          <w:lang w:val="en-GB"/>
        </w:rPr>
        <w:t>DC and CL as our robustness checks</w:t>
      </w:r>
    </w:p>
    <w:p w14:paraId="31FF6B2F" w14:textId="77777777" w:rsidR="00E36C04" w:rsidRDefault="00E36C04" w:rsidP="00703643">
      <w:pPr>
        <w:rPr>
          <w:lang w:val="en-US"/>
        </w:rPr>
      </w:pPr>
    </w:p>
    <w:p w14:paraId="39320570" w14:textId="77777777" w:rsidR="008D56B6" w:rsidRDefault="008D56B6" w:rsidP="00703643">
      <w:pPr>
        <w:rPr>
          <w:lang w:val="en-US"/>
        </w:rPr>
      </w:pPr>
    </w:p>
    <w:p w14:paraId="6D942071" w14:textId="32FB3C48" w:rsidR="008D56B6" w:rsidRDefault="008D56B6" w:rsidP="00703643">
      <w:pPr>
        <w:rPr>
          <w:lang w:val="en-US"/>
        </w:rPr>
      </w:pPr>
      <w:r>
        <w:rPr>
          <w:lang w:val="en-US"/>
        </w:rPr>
        <w:t>Kanzig Oil Shock Series</w:t>
      </w:r>
    </w:p>
    <w:p w14:paraId="375EEB4A" w14:textId="77777777" w:rsidR="008D56B6" w:rsidRDefault="008D56B6" w:rsidP="00703643">
      <w:pPr>
        <w:rPr>
          <w:lang w:val="en-US"/>
        </w:rPr>
      </w:pPr>
    </w:p>
    <w:p w14:paraId="619A4839" w14:textId="691183A8" w:rsidR="008D56B6" w:rsidRDefault="008D56B6" w:rsidP="00703643">
      <w:pPr>
        <w:rPr>
          <w:lang w:val="en-US"/>
        </w:rPr>
      </w:pPr>
      <w:r>
        <w:rPr>
          <w:lang w:val="en-US"/>
        </w:rPr>
        <w:t xml:space="preserve">Identifies shocks to oil supply expectations by exploiting institutional features of the Organization of the Petroleum Exporting Countries and information contained in high-frequency data. Uses variation in oil futures prices around OPEC production announcements. </w:t>
      </w:r>
    </w:p>
    <w:p w14:paraId="496162C4" w14:textId="7C82BCCD" w:rsidR="008D56B6" w:rsidRDefault="008D56B6" w:rsidP="00703643">
      <w:pPr>
        <w:rPr>
          <w:lang w:val="en-US"/>
        </w:rPr>
      </w:pPr>
      <w:r>
        <w:rPr>
          <w:lang w:val="en-US"/>
        </w:rPr>
        <w:t xml:space="preserve">OPEC decisions are political as well as endogenous with respect to the global economy. Through observing changes in oil futures prices in a tight window around announcement can isolate the impact of news about a future oil supply. The resulting series can be used as an external instrument in an oil market VAR model to identify oil supply news shocks. </w:t>
      </w:r>
    </w:p>
    <w:p w14:paraId="0428E2D2" w14:textId="77777777" w:rsidR="008D56B6" w:rsidRDefault="008D56B6" w:rsidP="00703643">
      <w:pPr>
        <w:rPr>
          <w:lang w:val="en-US"/>
        </w:rPr>
      </w:pPr>
    </w:p>
    <w:p w14:paraId="19EA1D9C" w14:textId="082095B9" w:rsidR="008D56B6" w:rsidRDefault="008D56B6" w:rsidP="00703643">
      <w:pPr>
        <w:rPr>
          <w:lang w:val="en-US"/>
        </w:rPr>
      </w:pPr>
      <w:r>
        <w:rPr>
          <w:lang w:val="en-US"/>
        </w:rPr>
        <w:t xml:space="preserve">Oil supply news propagates through higher oil prices and inflation expectations. Higher consumer prices and lower consumption and investment expenditures, rising unemployment and falling stock market indices are all persistent. </w:t>
      </w:r>
    </w:p>
    <w:p w14:paraId="2838CF37" w14:textId="77777777" w:rsidR="00E51D1A" w:rsidRDefault="00E51D1A" w:rsidP="00703643">
      <w:pPr>
        <w:rPr>
          <w:lang w:val="en-US"/>
        </w:rPr>
      </w:pPr>
    </w:p>
    <w:p w14:paraId="06CD4D12" w14:textId="28E8AD1E" w:rsidR="00E51D1A" w:rsidRDefault="00E51D1A" w:rsidP="00703643">
      <w:pPr>
        <w:rPr>
          <w:lang w:val="en-US"/>
        </w:rPr>
      </w:pPr>
      <w:r>
        <w:rPr>
          <w:lang w:val="en-US"/>
        </w:rPr>
        <w:t xml:space="preserve">Fundamental drivers of oil price fluctuations include oil supply, global demand and expectations about future oil market conditions. Killian (2009) uses zero restriction SVAR, while Killian and Murphy (2012) and Baumeister and Hamilton (2019) use sign restrictions. </w:t>
      </w:r>
    </w:p>
    <w:p w14:paraId="786E4530" w14:textId="77777777" w:rsidR="00E51D1A" w:rsidRDefault="00E51D1A" w:rsidP="00703643">
      <w:pPr>
        <w:rPr>
          <w:lang w:val="en-US"/>
        </w:rPr>
      </w:pPr>
    </w:p>
    <w:p w14:paraId="63A54685" w14:textId="46535531" w:rsidR="00E51D1A" w:rsidRDefault="00E51D1A" w:rsidP="00703643">
      <w:pPr>
        <w:rPr>
          <w:lang w:val="en-US"/>
        </w:rPr>
      </w:pPr>
      <w:r>
        <w:rPr>
          <w:lang w:val="en-US"/>
        </w:rPr>
        <w:lastRenderedPageBreak/>
        <w:t xml:space="preserve">Does not model futures market explicitly, however shows that oil futures prices contain valuable information for identification – high-frequency oil supply surprises are a strong instrument for the price of oil. </w:t>
      </w:r>
    </w:p>
    <w:p w14:paraId="1B799206" w14:textId="77777777" w:rsidR="00E51D1A" w:rsidRDefault="00E51D1A" w:rsidP="00703643">
      <w:pPr>
        <w:rPr>
          <w:lang w:val="en-US"/>
        </w:rPr>
      </w:pPr>
    </w:p>
    <w:p w14:paraId="392086A1" w14:textId="2000CFA0" w:rsidR="00E51D1A" w:rsidRDefault="00E51D1A" w:rsidP="00703643">
      <w:pPr>
        <w:rPr>
          <w:lang w:val="en-US"/>
        </w:rPr>
      </w:pPr>
      <w:r>
        <w:rPr>
          <w:lang w:val="en-US"/>
        </w:rPr>
        <w:t>This approach is similar methodologically to high-frequency id</w:t>
      </w:r>
      <w:r w:rsidR="00D00AF0">
        <w:rPr>
          <w:lang w:val="en-US"/>
        </w:rPr>
        <w:t xml:space="preserve"> </w:t>
      </w:r>
      <w:r>
        <w:rPr>
          <w:lang w:val="en-US"/>
        </w:rPr>
        <w:t>entification of monetary policy shocks</w:t>
      </w:r>
      <w:r w:rsidR="00D00AF0">
        <w:rPr>
          <w:lang w:val="en-US"/>
        </w:rPr>
        <w:t xml:space="preserve"> similar to Kuttner (2001) and Gertler and Karadi (2015). </w:t>
      </w:r>
    </w:p>
    <w:p w14:paraId="13DF4284" w14:textId="77777777" w:rsidR="00D00AF0" w:rsidRDefault="00D00AF0" w:rsidP="00703643">
      <w:pPr>
        <w:rPr>
          <w:lang w:val="en-US"/>
        </w:rPr>
      </w:pPr>
    </w:p>
    <w:p w14:paraId="768C7379" w14:textId="0A28B546" w:rsidR="00D00AF0" w:rsidRDefault="00D00AF0" w:rsidP="00703643">
      <w:pPr>
        <w:rPr>
          <w:lang w:val="en-US"/>
        </w:rPr>
      </w:pPr>
      <w:r>
        <w:rPr>
          <w:lang w:val="en-US"/>
        </w:rPr>
        <w:t xml:space="preserve">Although political considerations dominate global economic conditions in OPEC decisions, series is made more informationally robust by purging the original series from revisions in OPEC’s global demand forecast, analogous to the </w:t>
      </w:r>
      <w:r w:rsidR="00990442">
        <w:rPr>
          <w:lang w:val="en-US"/>
        </w:rPr>
        <w:t>controls used in</w:t>
      </w:r>
      <w:r>
        <w:rPr>
          <w:lang w:val="en-US"/>
        </w:rPr>
        <w:t xml:space="preserve"> Romer and Romer (2004)</w:t>
      </w:r>
      <w:r w:rsidR="00990442">
        <w:rPr>
          <w:lang w:val="en-US"/>
        </w:rPr>
        <w:t xml:space="preserve">. </w:t>
      </w:r>
    </w:p>
    <w:p w14:paraId="05C3A57E" w14:textId="77777777" w:rsidR="00720867" w:rsidRDefault="00720867" w:rsidP="00703643">
      <w:pPr>
        <w:rPr>
          <w:lang w:val="en-US"/>
        </w:rPr>
      </w:pPr>
    </w:p>
    <w:p w14:paraId="3A2BFF20" w14:textId="0DEB0E26" w:rsidR="00720867" w:rsidRDefault="00720867" w:rsidP="00703643">
      <w:pPr>
        <w:rPr>
          <w:lang w:val="en-US"/>
        </w:rPr>
      </w:pPr>
      <w:r>
        <w:rPr>
          <w:lang w:val="en-US"/>
        </w:rPr>
        <w:t xml:space="preserve">So basically oil supply surprise series (how much the futures prices changed around the  is used as the external instrument for oil supply news shock, which also purges oil prices of changes due to other structural shocks. </w:t>
      </w:r>
    </w:p>
    <w:p w14:paraId="0F8C2110" w14:textId="77777777" w:rsidR="00651FF6" w:rsidRDefault="00651FF6" w:rsidP="00703643">
      <w:pPr>
        <w:rPr>
          <w:lang w:val="en-US"/>
        </w:rPr>
      </w:pPr>
    </w:p>
    <w:p w14:paraId="752B8C5F" w14:textId="384B29C4" w:rsidR="00651FF6" w:rsidRDefault="00651FF6" w:rsidP="00703643">
      <w:pPr>
        <w:rPr>
          <w:lang w:val="en-US"/>
        </w:rPr>
      </w:pPr>
      <w:r>
        <w:rPr>
          <w:lang w:val="en-US"/>
        </w:rPr>
        <w:t>Remember choudri says that changes in prices due to residuals are a result of market power of agents!</w:t>
      </w:r>
    </w:p>
    <w:p w14:paraId="58D5C06F" w14:textId="77777777" w:rsidR="008A649E" w:rsidRDefault="008A649E" w:rsidP="00703643">
      <w:pPr>
        <w:rPr>
          <w:lang w:val="en-US"/>
        </w:rPr>
      </w:pPr>
    </w:p>
    <w:p w14:paraId="23F2E6DD" w14:textId="77777777" w:rsidR="008A649E" w:rsidRDefault="008A649E" w:rsidP="00703643">
      <w:pPr>
        <w:rPr>
          <w:lang w:val="en-US"/>
        </w:rPr>
      </w:pPr>
    </w:p>
    <w:p w14:paraId="344AB734"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The VAR implicitly conditions on cost and demand shocks (oil prices enter as the first variable; output gap proxy captures demand) before the exchange rate's effect on prices is traced. So the ERPT estimates from the McCarthy IRFs are not the same as the naive bivariate </w:t>
      </w:r>
      <m:oMath>
        <m:r>
          <w:rPr>
            <w:rFonts w:ascii="Cambria Math" w:eastAsia="Times New Roman" w:hAnsi="Cambria Math" w:cs="Times New Roman"/>
            <w:lang w:eastAsia="en-GB"/>
          </w:rPr>
          <m:t>p=γe+ε</m:t>
        </m:r>
      </m:oMath>
      <w:r w:rsidRPr="008A649E">
        <w:rPr>
          <w:rFonts w:eastAsia="Times New Roman" w:cs="Times New Roman"/>
          <w:lang w:eastAsia="en-GB"/>
        </w:rPr>
        <w:t>either — they are conditional on the other shocks in the system. Campa-Goldberg's critique of the reduced form is less damaging to your VAR approach than it is to simple OLS regressions, which is worth noting in your methodology section if you engage with the literature on what "pass-through" means.</w:t>
      </w:r>
    </w:p>
    <w:p w14:paraId="31631B16"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t></w:t>
      </w:r>
    </w:p>
    <w:p w14:paraId="4212E2A0"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t></w:t>
      </w:r>
    </w:p>
    <w:p w14:paraId="698CE07A" w14:textId="77777777" w:rsidR="008A649E" w:rsidRPr="008A649E" w:rsidRDefault="008A649E" w:rsidP="008A649E">
      <w:pPr>
        <w:spacing w:before="100" w:beforeAutospacing="1" w:after="100" w:afterAutospacing="1" w:line="240" w:lineRule="auto"/>
        <w:jc w:val="left"/>
        <w:outlineLvl w:val="1"/>
        <w:rPr>
          <w:rFonts w:eastAsia="Times New Roman" w:cs="Times New Roman"/>
          <w:b/>
          <w:bCs/>
          <w:sz w:val="36"/>
          <w:szCs w:val="36"/>
          <w:lang w:eastAsia="en-GB"/>
        </w:rPr>
      </w:pPr>
      <w:r w:rsidRPr="008A649E">
        <w:rPr>
          <w:rFonts w:eastAsia="Times New Roman" w:cs="Times New Roman"/>
          <w:b/>
          <w:bCs/>
          <w:sz w:val="36"/>
          <w:szCs w:val="36"/>
          <w:lang w:eastAsia="en-GB"/>
        </w:rPr>
        <w:t>You said: "Countries with exporters more deeply embedded in global value chains (higher imported input shares) will therefore exhibit lower pass-through — not because ex…</w:t>
      </w:r>
    </w:p>
    <w:p w14:paraId="5C8C85AE"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"Countries with exporters more deeply embedded in global value chains (higher imported input shares) will therefore exhibit lower pass-through — not because exporters are pricing-</w:t>
      </w:r>
      <w:r w:rsidRPr="008A649E">
        <w:rPr>
          <w:rFonts w:eastAsia="Times New Roman" w:cs="Times New Roman"/>
          <w:lang w:eastAsia="en-GB"/>
        </w:rPr>
        <w:lastRenderedPageBreak/>
        <w:t>to-market, but because the cost structure itself absorbs the exchange rate movement." so this is saying that perceived pass through is not actually pass through per se - because mark-ups may be unchanging</w:t>
      </w:r>
    </w:p>
    <w:p w14:paraId="15F14A7E"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lang w:eastAsia="en-GB"/>
        </w:rPr>
        <w:t>18:05</w:t>
      </w:r>
    </w:p>
    <w:p w14:paraId="64C374ED"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t></w:t>
      </w:r>
    </w:p>
    <w:p w14:paraId="396987EF"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t></w:t>
      </w:r>
    </w:p>
    <w:p w14:paraId="20909B84" w14:textId="77777777" w:rsidR="008A649E" w:rsidRPr="008A649E" w:rsidRDefault="008A649E" w:rsidP="008A649E">
      <w:pPr>
        <w:spacing w:before="100" w:beforeAutospacing="1" w:after="100" w:afterAutospacing="1" w:line="240" w:lineRule="auto"/>
        <w:jc w:val="left"/>
        <w:outlineLvl w:val="1"/>
        <w:rPr>
          <w:rFonts w:eastAsia="Times New Roman" w:cs="Times New Roman"/>
          <w:b/>
          <w:bCs/>
          <w:sz w:val="36"/>
          <w:szCs w:val="36"/>
          <w:lang w:eastAsia="en-GB"/>
        </w:rPr>
      </w:pPr>
      <w:r w:rsidRPr="008A649E">
        <w:rPr>
          <w:rFonts w:eastAsia="Times New Roman" w:cs="Times New Roman"/>
          <w:b/>
          <w:bCs/>
          <w:sz w:val="36"/>
          <w:szCs w:val="36"/>
          <w:lang w:eastAsia="en-GB"/>
        </w:rPr>
        <w:t>Claude responded: Exactly right, and this is a subtle but important distinction.</w:t>
      </w:r>
    </w:p>
    <w:p w14:paraId="66AAD990"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Exactly right, and this is a subtle but important distinction. Let me sharpen it.</w:t>
      </w:r>
    </w:p>
    <w:p w14:paraId="43695582" w14:textId="77777777" w:rsidR="008A649E" w:rsidRPr="008A649E" w:rsidRDefault="00D35CBF" w:rsidP="008A649E">
      <w:pPr>
        <w:spacing w:line="240" w:lineRule="auto"/>
        <w:jc w:val="left"/>
        <w:rPr>
          <w:rFonts w:eastAsia="Times New Roman" w:cs="Times New Roman"/>
          <w:lang w:eastAsia="en-GB"/>
        </w:rPr>
      </w:pPr>
      <w:r w:rsidRPr="008A649E">
        <w:rPr>
          <w:rFonts w:eastAsia="Times New Roman" w:cs="Times New Roman"/>
          <w:noProof/>
          <w:lang w:eastAsia="en-GB"/>
        </w:rPr>
        <w:pict w14:anchorId="630DD032">
          <v:rect id="_x0000_i1028" alt="" style="width:451.3pt;height:.05pt;mso-width-percent:0;mso-height-percent:0;mso-width-percent:0;mso-height-percent:0" o:hralign="center" o:hrstd="t" o:hr="t" fillcolor="#a0a0a0" stroked="f"/>
        </w:pict>
      </w:r>
    </w:p>
    <w:p w14:paraId="3B024128" w14:textId="77777777" w:rsidR="008A649E" w:rsidRPr="008A649E" w:rsidRDefault="008A649E" w:rsidP="008A649E">
      <w:pPr>
        <w:spacing w:before="100" w:beforeAutospacing="1" w:after="100" w:afterAutospacing="1" w:line="240" w:lineRule="auto"/>
        <w:jc w:val="left"/>
        <w:outlineLvl w:val="2"/>
        <w:rPr>
          <w:rFonts w:eastAsia="Times New Roman" w:cs="Times New Roman"/>
          <w:b/>
          <w:bCs/>
          <w:sz w:val="27"/>
          <w:szCs w:val="27"/>
          <w:lang w:eastAsia="en-GB"/>
        </w:rPr>
      </w:pPr>
      <w:r w:rsidRPr="008A649E">
        <w:rPr>
          <w:rFonts w:eastAsia="Times New Roman" w:cs="Times New Roman"/>
          <w:b/>
          <w:bCs/>
          <w:sz w:val="27"/>
          <w:szCs w:val="27"/>
          <w:lang w:eastAsia="en-GB"/>
        </w:rPr>
        <w:t>The Conflation in the Naive Estimate</w:t>
      </w:r>
    </w:p>
    <w:p w14:paraId="608A68B5"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The naive regression </w:t>
      </w:r>
      <m:oMath>
        <m:sSub>
          <m:sSubPr>
            <m:ctrlPr>
              <w:rPr>
                <w:rFonts w:ascii="Cambria Math" w:eastAsia="Times New Roman" w:hAnsi="Cambria Math" w:cs="Times New Roman"/>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=γ</m:t>
        </m:r>
        <m:sSub>
          <m:sSubPr>
            <m:ctrlPr>
              <w:rPr>
                <w:rFonts w:ascii="Cambria Math" w:eastAsia="Times New Roman" w:hAnsi="Cambria Math" w:cs="Times New Roman"/>
                <w:lang w:eastAsia="en-GB"/>
              </w:rPr>
            </m:ctrlPr>
          </m:sSubPr>
          <m:e>
            <m:r>
              <w:rPr>
                <w:rFonts w:ascii="Cambria Math" w:eastAsia="Times New Roman" w:hAnsi="Cambria Math" w:cs="Times New Roman"/>
                <w:lang w:eastAsia="en-GB"/>
              </w:rPr>
              <m:t>e</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sSub>
          <m:sSubPr>
            <m:ctrlPr>
              <w:rPr>
                <w:rFonts w:ascii="Cambria Math" w:eastAsia="Times New Roman" w:hAnsi="Cambria Math" w:cs="Times New Roman"/>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t</m:t>
            </m:r>
          </m:sub>
        </m:sSub>
      </m:oMath>
      <w:r w:rsidRPr="008A649E">
        <w:rPr>
          <w:rFonts w:eastAsia="Times New Roman" w:cs="Times New Roman"/>
          <w:lang w:eastAsia="en-GB"/>
        </w:rPr>
        <w:t xml:space="preserve">measures the </w:t>
      </w:r>
      <w:r w:rsidRPr="008A649E">
        <w:rPr>
          <w:rFonts w:eastAsia="Times New Roman" w:cs="Times New Roman"/>
          <w:b/>
          <w:bCs/>
          <w:lang w:eastAsia="en-GB"/>
        </w:rPr>
        <w:t>total comovement</w:t>
      </w:r>
      <w:r w:rsidRPr="008A649E">
        <w:rPr>
          <w:rFonts w:eastAsia="Times New Roman" w:cs="Times New Roman"/>
          <w:lang w:eastAsia="en-GB"/>
        </w:rPr>
        <w:t xml:space="preserve"> between import prices and the exchange rate. But import prices move with the exchange rate for two entirely different economic reasons:</w:t>
      </w:r>
    </w:p>
    <w:p w14:paraId="38DFC50A" w14:textId="77777777" w:rsidR="008A649E" w:rsidRPr="008A649E" w:rsidRDefault="008A649E" w:rsidP="008A649E">
      <w:pPr>
        <w:numPr>
          <w:ilvl w:val="0"/>
          <w:numId w:val="1"/>
        </w:numPr>
        <w:spacing w:before="100" w:beforeAutospacing="1" w:after="100" w:afterAutospacing="1" w:line="240" w:lineRule="auto"/>
        <w:jc w:val="left"/>
        <w:rPr>
          <w:rFonts w:eastAsia="Times New Roman" w:cs="Times New Roman"/>
          <w:lang w:eastAsia="en-GB"/>
        </w:rPr>
      </w:pPr>
      <w:r w:rsidRPr="008A649E">
        <w:rPr>
          <w:rFonts w:eastAsia="Times New Roman" w:cs="Times New Roman"/>
          <w:b/>
          <w:bCs/>
          <w:lang w:eastAsia="en-GB"/>
        </w:rPr>
        <w:t>The exchange rate mechanically translates foreign prices into domestic currency</w:t>
      </w:r>
      <w:r w:rsidRPr="008A649E">
        <w:rPr>
          <w:rFonts w:eastAsia="Times New Roman" w:cs="Times New Roman"/>
          <w:lang w:eastAsia="en-GB"/>
        </w:rPr>
        <w:t xml:space="preserve"> — this is "true" pass-through in the sense that the exporter's pricing behaviour is irrelevant; it's just arithmetic conversion.</w:t>
      </w:r>
    </w:p>
    <w:p w14:paraId="7B96EFF0" w14:textId="77777777" w:rsidR="008A649E" w:rsidRPr="008A649E" w:rsidRDefault="008A649E" w:rsidP="008A649E">
      <w:pPr>
        <w:numPr>
          <w:ilvl w:val="0"/>
          <w:numId w:val="1"/>
        </w:numPr>
        <w:spacing w:before="100" w:beforeAutospacing="1" w:after="100" w:afterAutospacing="1" w:line="240" w:lineRule="auto"/>
        <w:jc w:val="left"/>
        <w:rPr>
          <w:rFonts w:eastAsia="Times New Roman" w:cs="Times New Roman"/>
          <w:lang w:eastAsia="en-GB"/>
        </w:rPr>
      </w:pPr>
      <w:r w:rsidRPr="008A649E">
        <w:rPr>
          <w:rFonts w:eastAsia="Times New Roman" w:cs="Times New Roman"/>
          <w:b/>
          <w:bCs/>
          <w:lang w:eastAsia="en-GB"/>
        </w:rPr>
        <w:t>The exporter's marginal costs are themselves denominated (partly) in the destination currency</w:t>
      </w:r>
      <w:r w:rsidRPr="008A649E">
        <w:rPr>
          <w:rFonts w:eastAsia="Times New Roman" w:cs="Times New Roman"/>
          <w:lang w:eastAsia="en-GB"/>
        </w:rPr>
        <w:t xml:space="preserve"> — because they source inputs globally. When the rand depreciates, a South African trading partner whose production relies on dollar-priced inputs sees their costs rise in rand terms </w:t>
      </w:r>
      <w:r w:rsidRPr="008A649E">
        <w:rPr>
          <w:rFonts w:eastAsia="Times New Roman" w:cs="Times New Roman"/>
          <w:i/>
          <w:iCs/>
          <w:lang w:eastAsia="en-GB"/>
        </w:rPr>
        <w:t>alongside</w:t>
      </w:r>
      <w:r w:rsidRPr="008A649E">
        <w:rPr>
          <w:rFonts w:eastAsia="Times New Roman" w:cs="Times New Roman"/>
          <w:lang w:eastAsia="en-GB"/>
        </w:rPr>
        <w:t xml:space="preserve"> the exchange rate move.</w:t>
      </w:r>
    </w:p>
    <w:p w14:paraId="687FCC30"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In case (2), the import price rises when the exchange rate depreciates — so </w:t>
      </w:r>
      <m:oMath>
        <m:acc>
          <m:accPr>
            <m:ctrlPr>
              <w:rPr>
                <w:rFonts w:ascii="Cambria Math" w:eastAsia="Times New Roman" w:hAnsi="Cambria Math" w:cs="Times New Roman"/>
                <w:lang w:eastAsia="en-GB"/>
              </w:rPr>
            </m:ctrlPr>
          </m:accPr>
          <m:e>
            <m:r>
              <w:rPr>
                <w:rFonts w:ascii="Cambria Math" w:eastAsia="Times New Roman" w:hAnsi="Cambria Math" w:cs="Times New Roman"/>
                <w:lang w:eastAsia="en-GB"/>
              </w:rPr>
              <m:t>γ</m:t>
            </m:r>
          </m:e>
        </m:acc>
      </m:oMath>
      <w:r w:rsidRPr="008A649E">
        <w:rPr>
          <w:rFonts w:eastAsia="Times New Roman" w:cs="Times New Roman"/>
          <w:lang w:eastAsia="en-GB"/>
        </w:rPr>
        <w:t xml:space="preserve">is positive and perhaps large — but </w:t>
      </w:r>
      <w:r w:rsidRPr="008A649E">
        <w:rPr>
          <w:rFonts w:eastAsia="Times New Roman" w:cs="Times New Roman"/>
          <w:b/>
          <w:bCs/>
          <w:lang w:eastAsia="en-GB"/>
        </w:rPr>
        <w:t>the exporter did nothing</w:t>
      </w:r>
      <w:r w:rsidRPr="008A649E">
        <w:rPr>
          <w:rFonts w:eastAsia="Times New Roman" w:cs="Times New Roman"/>
          <w:lang w:eastAsia="en-GB"/>
        </w:rPr>
        <w:t>. No pricing decision was made, no margin was squeezed, no pricing-to-market occurred. The markup is completely unchanged. The price movement is entirely a cost-side artefact.</w:t>
      </w:r>
    </w:p>
    <w:p w14:paraId="09C92CFA" w14:textId="77777777" w:rsidR="008A649E" w:rsidRPr="008A649E" w:rsidRDefault="00D35CBF" w:rsidP="008A649E">
      <w:pPr>
        <w:spacing w:line="240" w:lineRule="auto"/>
        <w:jc w:val="left"/>
        <w:rPr>
          <w:rFonts w:eastAsia="Times New Roman" w:cs="Times New Roman"/>
          <w:lang w:eastAsia="en-GB"/>
        </w:rPr>
      </w:pPr>
      <w:r w:rsidRPr="008A649E">
        <w:rPr>
          <w:rFonts w:eastAsia="Times New Roman" w:cs="Times New Roman"/>
          <w:noProof/>
          <w:lang w:eastAsia="en-GB"/>
        </w:rPr>
        <w:pict w14:anchorId="6373DC5C">
          <v:rect id="_x0000_i1027" alt="" style="width:451.3pt;height:.05pt;mso-width-percent:0;mso-height-percent:0;mso-width-percent:0;mso-height-percent:0" o:hralign="center" o:hrstd="t" o:hr="t" fillcolor="#a0a0a0" stroked="f"/>
        </w:pict>
      </w:r>
    </w:p>
    <w:p w14:paraId="05CF16A4" w14:textId="77777777" w:rsidR="008A649E" w:rsidRPr="008A649E" w:rsidRDefault="008A649E" w:rsidP="008A649E">
      <w:pPr>
        <w:spacing w:before="100" w:beforeAutospacing="1" w:after="100" w:afterAutospacing="1" w:line="240" w:lineRule="auto"/>
        <w:jc w:val="left"/>
        <w:outlineLvl w:val="2"/>
        <w:rPr>
          <w:rFonts w:eastAsia="Times New Roman" w:cs="Times New Roman"/>
          <w:b/>
          <w:bCs/>
          <w:sz w:val="27"/>
          <w:szCs w:val="27"/>
          <w:lang w:eastAsia="en-GB"/>
        </w:rPr>
      </w:pPr>
      <w:r w:rsidRPr="008A649E">
        <w:rPr>
          <w:rFonts w:eastAsia="Times New Roman" w:cs="Times New Roman"/>
          <w:b/>
          <w:bCs/>
          <w:sz w:val="27"/>
          <w:szCs w:val="27"/>
          <w:lang w:eastAsia="en-GB"/>
        </w:rPr>
        <w:t>What the Elasticity Formula Reveals</w:t>
      </w:r>
    </w:p>
    <w:p w14:paraId="74A43E4F"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Recall equation (5):</w:t>
      </w:r>
    </w:p>
    <w:p w14:paraId="5BF74765" w14:textId="77777777" w:rsidR="008A649E" w:rsidRPr="008A649E" w:rsidRDefault="008A649E" w:rsidP="008A649E">
      <w:pPr>
        <w:spacing w:line="240" w:lineRule="auto"/>
        <w:jc w:val="left"/>
        <w:rPr>
          <w:rFonts w:eastAsia="Times New Roman" w:cs="Times New Roman"/>
          <w:lang w:eastAsia="en-GB"/>
        </w:rPr>
      </w:pPr>
      <m:oMathPara>
        <m:oMath>
          <m:r>
            <w:rPr>
              <w:rFonts w:ascii="Cambria Math" w:eastAsia="Times New Roman" w:hAnsi="Cambria Math" w:cs="Times New Roman"/>
              <w:lang w:eastAsia="en-GB"/>
            </w:rPr>
            <m:t>γ=-</m:t>
          </m:r>
          <m:f>
            <m:fPr>
              <m:ctrlPr>
                <w:rPr>
                  <w:rFonts w:ascii="Cambria Math" w:eastAsia="Times New Roman" w:hAnsi="Cambria Math" w:cs="Times New Roman"/>
                  <w:lang w:eastAsia="en-GB"/>
                </w:rPr>
              </m:ctrlPr>
            </m:fPr>
            <m:num>
              <m:r>
                <w:rPr>
                  <w:rFonts w:ascii="Cambria Math" w:eastAsia="Times New Roman" w:hAnsi="Cambria Math" w:cs="Times New Roman"/>
                  <w:lang w:eastAsia="en-GB"/>
                </w:rPr>
                <m:t>1+λ</m:t>
              </m:r>
            </m:num>
            <m:den>
              <m:r>
                <w:rPr>
                  <w:rFonts w:ascii="Cambria Math" w:eastAsia="Times New Roman" w:hAnsi="Cambria Math" w:cs="Times New Roman"/>
                  <w:lang w:eastAsia="en-GB"/>
                </w:rPr>
                <m:t>1+η</m:t>
              </m:r>
            </m:den>
          </m:f>
          <m:r>
            <w:rPr>
              <w:rFonts w:ascii="Cambria Math" w:eastAsia="Times New Roman" w:hAnsi="Cambria Math" w:cs="Times New Roman"/>
              <w:lang w:eastAsia="en-GB"/>
            </w:rPr>
            <w:br/>
          </m:r>
        </m:oMath>
      </m:oMathPara>
    </w:p>
    <w:p w14:paraId="387AE0B5"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Now hold </w:t>
      </w:r>
      <m:oMath>
        <m:r>
          <w:rPr>
            <w:rFonts w:ascii="Cambria Math" w:eastAsia="Times New Roman" w:hAnsi="Cambria Math" w:cs="Times New Roman"/>
            <w:lang w:eastAsia="en-GB"/>
          </w:rPr>
          <m:t>η=0</m:t>
        </m:r>
      </m:oMath>
      <w:r w:rsidRPr="008A649E">
        <w:rPr>
          <w:rFonts w:eastAsia="Times New Roman" w:cs="Times New Roman"/>
          <w:lang w:eastAsia="en-GB"/>
        </w:rPr>
        <w:t>(constant markup — the exporter does no pricing-to-market at all). Then:</w:t>
      </w:r>
    </w:p>
    <w:p w14:paraId="5D0B52A0" w14:textId="77777777" w:rsidR="008A649E" w:rsidRPr="008A649E" w:rsidRDefault="008A649E" w:rsidP="008A649E">
      <w:pPr>
        <w:spacing w:line="240" w:lineRule="auto"/>
        <w:jc w:val="left"/>
        <w:rPr>
          <w:rFonts w:eastAsia="Times New Roman" w:cs="Times New Roman"/>
          <w:lang w:eastAsia="en-GB"/>
        </w:rPr>
      </w:pPr>
      <m:oMathPara>
        <m:oMath>
          <m:r>
            <w:rPr>
              <w:rFonts w:ascii="Cambria Math" w:eastAsia="Times New Roman" w:hAnsi="Cambria Math" w:cs="Times New Roman"/>
              <w:lang w:eastAsia="en-GB"/>
            </w:rPr>
            <m:t>γ=-(1+λ)</m:t>
          </m:r>
          <m:r>
            <w:rPr>
              <w:rFonts w:ascii="Cambria Math" w:eastAsia="Times New Roman" w:hAnsi="Cambria Math" w:cs="Times New Roman"/>
              <w:i/>
              <w:lang w:eastAsia="en-GB"/>
            </w:rPr>
            <w:br/>
          </m:r>
        </m:oMath>
      </m:oMathPara>
    </w:p>
    <w:p w14:paraId="166D99EC"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lastRenderedPageBreak/>
        <w:t xml:space="preserve">Since </w:t>
      </w:r>
      <m:oMath>
        <m:r>
          <w:rPr>
            <w:rFonts w:ascii="Cambria Math" w:eastAsia="Times New Roman" w:hAnsi="Cambria Math" w:cs="Times New Roman"/>
            <w:lang w:eastAsia="en-GB"/>
          </w:rPr>
          <m:t>λ≤0</m:t>
        </m:r>
      </m:oMath>
      <w:r w:rsidRPr="008A649E">
        <w:rPr>
          <w:rFonts w:eastAsia="Times New Roman" w:cs="Times New Roman"/>
          <w:lang w:eastAsia="en-GB"/>
        </w:rPr>
        <w:t xml:space="preserve">, we have </w:t>
      </w:r>
      <m:oMath>
        <m:r>
          <w:rPr>
            <w:rFonts w:ascii="Cambria Math" w:eastAsia="Times New Roman" w:hAnsi="Cambria Math" w:cs="Times New Roman"/>
            <w:lang w:eastAsia="en-GB"/>
          </w:rPr>
          <m:t>-(1+λ)∈[0,1]</m:t>
        </m:r>
      </m:oMath>
      <w:r w:rsidRPr="008A649E">
        <w:rPr>
          <w:rFonts w:eastAsia="Times New Roman" w:cs="Times New Roman"/>
          <w:lang w:eastAsia="en-GB"/>
        </w:rPr>
        <w:t xml:space="preserve">. So even with </w:t>
      </w:r>
      <w:r w:rsidRPr="008A649E">
        <w:rPr>
          <w:rFonts w:eastAsia="Times New Roman" w:cs="Times New Roman"/>
          <w:b/>
          <w:bCs/>
          <w:lang w:eastAsia="en-GB"/>
        </w:rPr>
        <w:t>completely rigid markups</w:t>
      </w:r>
      <w:r w:rsidRPr="008A649E">
        <w:rPr>
          <w:rFonts w:eastAsia="Times New Roman" w:cs="Times New Roman"/>
          <w:lang w:eastAsia="en-GB"/>
        </w:rPr>
        <w:t xml:space="preserve">, pass-through can be less than one — and the more negative </w:t>
      </w:r>
      <m:oMath>
        <m:r>
          <w:rPr>
            <w:rFonts w:ascii="Cambria Math" w:eastAsia="Times New Roman" w:hAnsi="Cambria Math" w:cs="Times New Roman"/>
            <w:lang w:eastAsia="en-GB"/>
          </w:rPr>
          <m:t>λ</m:t>
        </m:r>
      </m:oMath>
      <w:r w:rsidRPr="008A649E">
        <w:rPr>
          <w:rFonts w:eastAsia="Times New Roman" w:cs="Times New Roman"/>
          <w:lang w:eastAsia="en-GB"/>
        </w:rPr>
        <w:t xml:space="preserve">is (the more the exporter's costs move with the exchange rate), the lower </w:t>
      </w:r>
      <m:oMath>
        <m:r>
          <w:rPr>
            <w:rFonts w:ascii="Cambria Math" w:eastAsia="Times New Roman" w:hAnsi="Cambria Math" w:cs="Times New Roman"/>
            <w:lang w:eastAsia="en-GB"/>
          </w:rPr>
          <m:t>γ</m:t>
        </m:r>
      </m:oMath>
      <w:r w:rsidRPr="008A649E">
        <w:rPr>
          <w:rFonts w:eastAsia="Times New Roman" w:cs="Times New Roman"/>
          <w:lang w:eastAsia="en-GB"/>
        </w:rPr>
        <w:t>is.</w:t>
      </w:r>
    </w:p>
    <w:p w14:paraId="05B6A564"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This means an econometrician estimating the naive regression and finding </w:t>
      </w:r>
      <m:oMath>
        <m:acc>
          <m:accPr>
            <m:ctrlPr>
              <w:rPr>
                <w:rFonts w:ascii="Cambria Math" w:eastAsia="Times New Roman" w:hAnsi="Cambria Math" w:cs="Times New Roman"/>
                <w:lang w:eastAsia="en-GB"/>
              </w:rPr>
            </m:ctrlPr>
          </m:accPr>
          <m:e>
            <m:r>
              <w:rPr>
                <w:rFonts w:ascii="Cambria Math" w:eastAsia="Times New Roman" w:hAnsi="Cambria Math" w:cs="Times New Roman"/>
                <w:lang w:eastAsia="en-GB"/>
              </w:rPr>
              <m:t>γ</m:t>
            </m:r>
          </m:e>
        </m:acc>
        <m:r>
          <w:rPr>
            <w:rFonts w:ascii="Cambria Math" w:eastAsia="Times New Roman" w:hAnsi="Cambria Math" w:cs="Times New Roman"/>
            <w:lang w:eastAsia="en-GB"/>
          </w:rPr>
          <m:t>=0.4</m:t>
        </m:r>
      </m:oMath>
      <w:r w:rsidRPr="008A649E">
        <w:rPr>
          <w:rFonts w:eastAsia="Times New Roman" w:cs="Times New Roman"/>
          <w:lang w:eastAsia="en-GB"/>
        </w:rPr>
        <w:t>cannot conclude that exporters are absorbing 60% of the exchange rate movement into their margins. They could be absorbing zero — and the 0.6 "missing" pass-through is entirely explained by the cost structure.</w:t>
      </w:r>
    </w:p>
    <w:p w14:paraId="4AF398B6" w14:textId="77777777" w:rsidR="008A649E" w:rsidRPr="008A649E" w:rsidRDefault="00D35CBF" w:rsidP="008A649E">
      <w:pPr>
        <w:spacing w:line="240" w:lineRule="auto"/>
        <w:jc w:val="left"/>
        <w:rPr>
          <w:rFonts w:eastAsia="Times New Roman" w:cs="Times New Roman"/>
          <w:lang w:eastAsia="en-GB"/>
        </w:rPr>
      </w:pPr>
      <w:r w:rsidRPr="008A649E">
        <w:rPr>
          <w:rFonts w:eastAsia="Times New Roman" w:cs="Times New Roman"/>
          <w:noProof/>
          <w:lang w:eastAsia="en-GB"/>
        </w:rPr>
        <w:pict w14:anchorId="4E75B551">
          <v:rect id="_x0000_i1026" alt="" style="width:451.3pt;height:.05pt;mso-width-percent:0;mso-height-percent:0;mso-width-percent:0;mso-height-percent:0" o:hralign="center" o:hrstd="t" o:hr="t" fillcolor="#a0a0a0" stroked="f"/>
        </w:pict>
      </w:r>
    </w:p>
    <w:p w14:paraId="7E365E79" w14:textId="77777777" w:rsidR="008A649E" w:rsidRPr="008A649E" w:rsidRDefault="008A649E" w:rsidP="008A649E">
      <w:pPr>
        <w:spacing w:before="100" w:beforeAutospacing="1" w:after="100" w:afterAutospacing="1" w:line="240" w:lineRule="auto"/>
        <w:jc w:val="left"/>
        <w:outlineLvl w:val="2"/>
        <w:rPr>
          <w:rFonts w:eastAsia="Times New Roman" w:cs="Times New Roman"/>
          <w:b/>
          <w:bCs/>
          <w:sz w:val="27"/>
          <w:szCs w:val="27"/>
          <w:lang w:eastAsia="en-GB"/>
        </w:rPr>
      </w:pPr>
      <w:r w:rsidRPr="008A649E">
        <w:rPr>
          <w:rFonts w:eastAsia="Times New Roman" w:cs="Times New Roman"/>
          <w:b/>
          <w:bCs/>
          <w:sz w:val="27"/>
          <w:szCs w:val="27"/>
          <w:lang w:eastAsia="en-GB"/>
        </w:rPr>
        <w:t>The Pricing-to-Market Distinction</w:t>
      </w:r>
    </w:p>
    <w:p w14:paraId="06D3386E"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Pricing-to-market is specifically a markup response — </w:t>
      </w:r>
      <m:oMath>
        <m:r>
          <w:rPr>
            <w:rFonts w:ascii="Cambria Math" w:eastAsia="Times New Roman" w:hAnsi="Cambria Math" w:cs="Times New Roman"/>
            <w:lang w:eastAsia="en-GB"/>
          </w:rPr>
          <m:t>η</m:t>
        </m:r>
        <m:r>
          <m:rPr>
            <m:sty m:val="p"/>
          </m:rPr>
          <w:rPr>
            <w:rFonts w:ascii="Cambria Math" w:eastAsia="Times New Roman" w:hAnsi="Cambria Math" w:cs="Times New Roman"/>
            <w:lang w:eastAsia="en-GB"/>
          </w:rPr>
          <m:t>≠</m:t>
        </m:r>
        <m:r>
          <w:rPr>
            <w:rFonts w:ascii="Cambria Math" w:eastAsia="Times New Roman" w:hAnsi="Cambria Math" w:cs="Times New Roman"/>
            <w:lang w:eastAsia="en-GB"/>
          </w:rPr>
          <m:t>0</m:t>
        </m:r>
      </m:oMath>
      <w:r w:rsidRPr="008A649E">
        <w:rPr>
          <w:rFonts w:eastAsia="Times New Roman" w:cs="Times New Roman"/>
          <w:lang w:eastAsia="en-GB"/>
        </w:rPr>
        <w:t>. It says: when the exchange rate moves, the exporter *actively adjusts their margin* to stabilise the destination-currency price. This is a behavioural, strategic decision that depends on market structure, demand curvature, and competitive conditions.</w:t>
      </w:r>
    </w:p>
    <w:p w14:paraId="702879CC"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What you are identifying is that </w:t>
      </w:r>
      <m:oMath>
        <m:r>
          <w:rPr>
            <w:rFonts w:ascii="Cambria Math" w:eastAsia="Times New Roman" w:hAnsi="Cambria Math" w:cs="Times New Roman"/>
            <w:lang w:eastAsia="en-GB"/>
          </w:rPr>
          <m:t>λ</m:t>
        </m:r>
      </m:oMath>
      <w:r w:rsidRPr="008A649E">
        <w:rPr>
          <w:rFonts w:eastAsia="Times New Roman" w:cs="Times New Roman"/>
          <w:lang w:eastAsia="en-GB"/>
        </w:rPr>
        <w:t xml:space="preserve">and </w:t>
      </w:r>
      <m:oMath>
        <m:r>
          <w:rPr>
            <w:rFonts w:ascii="Cambria Math" w:eastAsia="Times New Roman" w:hAnsi="Cambria Math" w:cs="Times New Roman"/>
            <w:lang w:eastAsia="en-GB"/>
          </w:rPr>
          <m:t>η</m:t>
        </m:r>
      </m:oMath>
      <w:r w:rsidRPr="008A649E">
        <w:rPr>
          <w:rFonts w:eastAsia="Times New Roman" w:cs="Times New Roman"/>
          <w:lang w:eastAsia="en-GB"/>
        </w:rPr>
        <w:t xml:space="preserve">are </w:t>
      </w:r>
      <w:r w:rsidRPr="008A649E">
        <w:rPr>
          <w:rFonts w:eastAsia="Times New Roman" w:cs="Times New Roman"/>
          <w:b/>
          <w:bCs/>
          <w:lang w:eastAsia="en-GB"/>
        </w:rPr>
        <w:t>observationally equivalent</w:t>
      </w:r>
      <w:r w:rsidRPr="008A649E">
        <w:rPr>
          <w:rFonts w:eastAsia="Times New Roman" w:cs="Times New Roman"/>
          <w:lang w:eastAsia="en-GB"/>
        </w:rPr>
        <w:t xml:space="preserve"> in the naive regression. Both compress </w:t>
      </w:r>
      <m:oMath>
        <m:acc>
          <m:accPr>
            <m:ctrlPr>
              <w:rPr>
                <w:rFonts w:ascii="Cambria Math" w:eastAsia="Times New Roman" w:hAnsi="Cambria Math" w:cs="Times New Roman"/>
                <w:lang w:eastAsia="en-GB"/>
              </w:rPr>
            </m:ctrlPr>
          </m:accPr>
          <m:e>
            <m:r>
              <w:rPr>
                <w:rFonts w:ascii="Cambria Math" w:eastAsia="Times New Roman" w:hAnsi="Cambria Math" w:cs="Times New Roman"/>
                <w:lang w:eastAsia="en-GB"/>
              </w:rPr>
              <m:t>γ</m:t>
            </m:r>
          </m:e>
        </m:acc>
      </m:oMath>
      <w:r w:rsidRPr="008A649E">
        <w:rPr>
          <w:rFonts w:eastAsia="Times New Roman" w:cs="Times New Roman"/>
          <w:lang w:eastAsia="en-GB"/>
        </w:rPr>
        <w:t>below one. But they have completely different implications:</w:t>
      </w:r>
    </w:p>
    <w:p w14:paraId="5BD57CE5" w14:textId="77777777" w:rsidR="008A649E" w:rsidRPr="008A649E" w:rsidRDefault="008A649E" w:rsidP="008A649E">
      <w:pPr>
        <w:numPr>
          <w:ilvl w:val="0"/>
          <w:numId w:val="2"/>
        </w:num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If low pass-through is driven by </w:t>
      </w:r>
      <m:oMath>
        <m:r>
          <w:rPr>
            <w:rFonts w:ascii="Cambria Math" w:eastAsia="Times New Roman" w:hAnsi="Cambria Math" w:cs="Times New Roman"/>
            <w:lang w:eastAsia="en-GB"/>
          </w:rPr>
          <m:t>λ</m:t>
        </m:r>
      </m:oMath>
      <w:r w:rsidRPr="008A649E">
        <w:rPr>
          <w:rFonts w:eastAsia="Times New Roman" w:cs="Times New Roman"/>
          <w:lang w:eastAsia="en-GB"/>
        </w:rPr>
        <w:t>: it's a cost-structure phenomenon, attributable to vertical integration in global value chains, and has no particular implication for market power or pricing strategy.</w:t>
      </w:r>
    </w:p>
    <w:p w14:paraId="28254BB6" w14:textId="77777777" w:rsidR="008A649E" w:rsidRPr="008A649E" w:rsidRDefault="008A649E" w:rsidP="008A649E">
      <w:pPr>
        <w:numPr>
          <w:ilvl w:val="0"/>
          <w:numId w:val="2"/>
        </w:num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If low pass-through is driven by </w:t>
      </w:r>
      <m:oMath>
        <m:r>
          <w:rPr>
            <w:rFonts w:ascii="Cambria Math" w:eastAsia="Times New Roman" w:hAnsi="Cambria Math" w:cs="Times New Roman"/>
            <w:lang w:eastAsia="en-GB"/>
          </w:rPr>
          <m:t>η</m:t>
        </m:r>
      </m:oMath>
      <w:r w:rsidRPr="008A649E">
        <w:rPr>
          <w:rFonts w:eastAsia="Times New Roman" w:cs="Times New Roman"/>
          <w:lang w:eastAsia="en-GB"/>
        </w:rPr>
        <w:t>: it reflects active pricing-to-market, has implications for market power and monetary policy transmission, and is the basis for LCP vs PCP distinctions.</w:t>
      </w:r>
    </w:p>
    <w:p w14:paraId="39D65BE3"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The Campa-Goldberg equation (4), by controlling for trading-partner costs explicitly, attempts to partial out </w:t>
      </w:r>
      <m:oMath>
        <m:r>
          <w:rPr>
            <w:rFonts w:ascii="Cambria Math" w:eastAsia="Times New Roman" w:hAnsi="Cambria Math" w:cs="Times New Roman"/>
            <w:lang w:eastAsia="en-GB"/>
          </w:rPr>
          <m:t>λ</m:t>
        </m:r>
      </m:oMath>
      <w:r w:rsidRPr="008A649E">
        <w:rPr>
          <w:rFonts w:eastAsia="Times New Roman" w:cs="Times New Roman"/>
          <w:lang w:eastAsia="en-GB"/>
        </w:rPr>
        <w:t>— leaving the residual exchange rate coefficient interpretable as the markup-adjustment component. That is why the controls are not merely statistical nuisances but theory-mandated identifying assumptions.</w:t>
      </w:r>
    </w:p>
    <w:p w14:paraId="6F8FD3FA" w14:textId="77777777" w:rsidR="008A649E" w:rsidRPr="008A649E" w:rsidRDefault="00D35CBF" w:rsidP="008A649E">
      <w:pPr>
        <w:spacing w:line="240" w:lineRule="auto"/>
        <w:jc w:val="left"/>
        <w:rPr>
          <w:rFonts w:eastAsia="Times New Roman" w:cs="Times New Roman"/>
          <w:lang w:eastAsia="en-GB"/>
        </w:rPr>
      </w:pPr>
      <w:r w:rsidRPr="008A649E">
        <w:rPr>
          <w:rFonts w:eastAsia="Times New Roman" w:cs="Times New Roman"/>
          <w:noProof/>
          <w:lang w:eastAsia="en-GB"/>
        </w:rPr>
        <w:pict w14:anchorId="5A33A242">
          <v:rect id="_x0000_i1025" alt="" style="width:451.3pt;height:.05pt;mso-width-percent:0;mso-height-percent:0;mso-width-percent:0;mso-height-percent:0" o:hralign="center" o:hrstd="t" o:hr="t" fillcolor="#a0a0a0" stroked="f"/>
        </w:pict>
      </w:r>
    </w:p>
    <w:p w14:paraId="7BC406B7" w14:textId="77777777" w:rsidR="008A649E" w:rsidRPr="008A649E" w:rsidRDefault="008A649E" w:rsidP="008A649E">
      <w:pPr>
        <w:spacing w:before="100" w:beforeAutospacing="1" w:after="100" w:afterAutospacing="1" w:line="240" w:lineRule="auto"/>
        <w:jc w:val="left"/>
        <w:outlineLvl w:val="2"/>
        <w:rPr>
          <w:rFonts w:eastAsia="Times New Roman" w:cs="Times New Roman"/>
          <w:b/>
          <w:bCs/>
          <w:sz w:val="27"/>
          <w:szCs w:val="27"/>
          <w:lang w:eastAsia="en-GB"/>
        </w:rPr>
      </w:pPr>
      <w:r w:rsidRPr="008A649E">
        <w:rPr>
          <w:rFonts w:eastAsia="Times New Roman" w:cs="Times New Roman"/>
          <w:b/>
          <w:bCs/>
          <w:sz w:val="27"/>
          <w:szCs w:val="27"/>
          <w:lang w:eastAsia="en-GB"/>
        </w:rPr>
        <w:t>The Deeper Point</w:t>
      </w:r>
    </w:p>
    <w:p w14:paraId="2A42A613"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Your restatement is precisely correct: a low observed </w:t>
      </w:r>
      <m:oMath>
        <m:acc>
          <m:accPr>
            <m:ctrlPr>
              <w:rPr>
                <w:rFonts w:ascii="Cambria Math" w:eastAsia="Times New Roman" w:hAnsi="Cambria Math" w:cs="Times New Roman"/>
                <w:lang w:eastAsia="en-GB"/>
              </w:rPr>
            </m:ctrlPr>
          </m:accPr>
          <m:e>
            <m:r>
              <w:rPr>
                <w:rFonts w:ascii="Cambria Math" w:eastAsia="Times New Roman" w:hAnsi="Cambria Math" w:cs="Times New Roman"/>
                <w:lang w:eastAsia="en-GB"/>
              </w:rPr>
              <m:t>γ</m:t>
            </m:r>
          </m:e>
        </m:acc>
      </m:oMath>
      <w:r w:rsidRPr="008A649E">
        <w:rPr>
          <w:rFonts w:eastAsia="Times New Roman" w:cs="Times New Roman"/>
          <w:lang w:eastAsia="en-GB"/>
        </w:rPr>
        <w:t>from the naive regression is not evidence of pricing-to-market. It is consistent with exporters who have perfectly stable markups and simply happen to have cost structures that co-move with the exchange rate. "Perceived pass-through is not actual pass-through" is a clean way to put it — the naive estimate confounds a pricing decision with a cost identity.</w:t>
      </w:r>
    </w:p>
    <w:p w14:paraId="59E9E9AA" w14:textId="77777777" w:rsidR="008A649E" w:rsidRPr="008A649E" w:rsidRDefault="008A649E" w:rsidP="008A649E">
      <w:pPr>
        <w:spacing w:before="100" w:beforeAutospacing="1" w:after="100" w:afterAutospacing="1" w:line="240" w:lineRule="auto"/>
        <w:jc w:val="left"/>
        <w:rPr>
          <w:rFonts w:eastAsia="Times New Roman" w:cs="Times New Roman"/>
          <w:lang w:eastAsia="en-GB"/>
        </w:rPr>
      </w:pPr>
      <w:r w:rsidRPr="008A649E">
        <w:rPr>
          <w:rFonts w:eastAsia="Times New Roman" w:cs="Times New Roman"/>
          <w:lang w:eastAsia="en-GB"/>
        </w:rPr>
        <w:t xml:space="preserve">This is actually one reason the McCarthy VAR framework has an advantage in your context: by ordering oil prices before the exchange rate and including a demand proxy, the system at least partially separates cost-driven price movements from exchange-rate-driven ones, even if the decomposition into </w:t>
      </w:r>
      <m:oMath>
        <m:r>
          <w:rPr>
            <w:rFonts w:ascii="Cambria Math" w:eastAsia="Times New Roman" w:hAnsi="Cambria Math" w:cs="Times New Roman"/>
            <w:lang w:eastAsia="en-GB"/>
          </w:rPr>
          <m:t>λ</m:t>
        </m:r>
      </m:oMath>
      <w:r w:rsidRPr="008A649E">
        <w:rPr>
          <w:rFonts w:eastAsia="Times New Roman" w:cs="Times New Roman"/>
          <w:lang w:eastAsia="en-GB"/>
        </w:rPr>
        <w:t xml:space="preserve">and </w:t>
      </w:r>
      <m:oMath>
        <m:r>
          <w:rPr>
            <w:rFonts w:ascii="Cambria Math" w:eastAsia="Times New Roman" w:hAnsi="Cambria Math" w:cs="Times New Roman"/>
            <w:lang w:eastAsia="en-GB"/>
          </w:rPr>
          <m:t>η</m:t>
        </m:r>
      </m:oMath>
      <w:r w:rsidRPr="008A649E">
        <w:rPr>
          <w:rFonts w:eastAsia="Times New Roman" w:cs="Times New Roman"/>
          <w:lang w:eastAsia="en-GB"/>
        </w:rPr>
        <w:t>is not the explicit goal.</w:t>
      </w:r>
    </w:p>
    <w:p w14:paraId="7DB5F286"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t></w:t>
      </w:r>
    </w:p>
    <w:p w14:paraId="482601BB" w14:textId="77777777" w:rsidR="008A649E" w:rsidRPr="008A649E" w:rsidRDefault="008A649E" w:rsidP="008A649E">
      <w:pPr>
        <w:spacing w:line="240" w:lineRule="auto"/>
        <w:jc w:val="left"/>
        <w:rPr>
          <w:rFonts w:eastAsia="Times New Roman" w:cs="Times New Roman"/>
          <w:lang w:eastAsia="en-GB"/>
        </w:rPr>
      </w:pPr>
      <w:r w:rsidRPr="008A649E">
        <w:rPr>
          <w:rFonts w:eastAsia="Times New Roman" w:cs="Times New Roman"/>
          <w:sz w:val="30"/>
          <w:szCs w:val="30"/>
          <w:lang w:eastAsia="en-GB"/>
        </w:rPr>
        <w:lastRenderedPageBreak/>
        <w:t></w:t>
      </w:r>
    </w:p>
    <w:p w14:paraId="70E63BA9" w14:textId="77777777" w:rsidR="008A649E" w:rsidRPr="00EC1500" w:rsidRDefault="008A649E" w:rsidP="00703643">
      <w:pPr>
        <w:rPr>
          <w:lang w:val="en-US"/>
        </w:rPr>
      </w:pPr>
    </w:p>
    <w:sectPr w:rsidR="008A649E" w:rsidRPr="00EC1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5710F"/>
    <w:multiLevelType w:val="multilevel"/>
    <w:tmpl w:val="5A3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65F7C"/>
    <w:multiLevelType w:val="multilevel"/>
    <w:tmpl w:val="D836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595283">
    <w:abstractNumId w:val="1"/>
  </w:num>
  <w:num w:numId="2" w16cid:durableId="127069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00"/>
    <w:rsid w:val="001D09D2"/>
    <w:rsid w:val="002A6B48"/>
    <w:rsid w:val="004571DB"/>
    <w:rsid w:val="006250A7"/>
    <w:rsid w:val="00651FF6"/>
    <w:rsid w:val="00703643"/>
    <w:rsid w:val="00720867"/>
    <w:rsid w:val="007613E5"/>
    <w:rsid w:val="00803932"/>
    <w:rsid w:val="00855D66"/>
    <w:rsid w:val="008A649E"/>
    <w:rsid w:val="008D56B6"/>
    <w:rsid w:val="00961F02"/>
    <w:rsid w:val="00990442"/>
    <w:rsid w:val="00B86D97"/>
    <w:rsid w:val="00CF1838"/>
    <w:rsid w:val="00D00AF0"/>
    <w:rsid w:val="00D35CBF"/>
    <w:rsid w:val="00D86C3A"/>
    <w:rsid w:val="00E36C04"/>
    <w:rsid w:val="00E51D1A"/>
    <w:rsid w:val="00E54B83"/>
    <w:rsid w:val="00EC1500"/>
    <w:rsid w:val="00FA73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1A00"/>
  <w15:chartTrackingRefBased/>
  <w15:docId w15:val="{3009E915-5FA4-F449-8B34-2A48E3AF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D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EC1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1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150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150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150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150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1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500"/>
    <w:rPr>
      <w:rFonts w:eastAsiaTheme="majorEastAsia" w:cstheme="majorBidi"/>
      <w:color w:val="272727" w:themeColor="text1" w:themeTint="D8"/>
    </w:rPr>
  </w:style>
  <w:style w:type="paragraph" w:styleId="Title">
    <w:name w:val="Title"/>
    <w:basedOn w:val="Normal"/>
    <w:next w:val="Normal"/>
    <w:link w:val="TitleChar"/>
    <w:uiPriority w:val="10"/>
    <w:qFormat/>
    <w:rsid w:val="00EC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5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5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1500"/>
    <w:rPr>
      <w:rFonts w:ascii="Times New Roman" w:hAnsi="Times New Roman"/>
      <w:i/>
      <w:iCs/>
      <w:color w:val="404040" w:themeColor="text1" w:themeTint="BF"/>
    </w:rPr>
  </w:style>
  <w:style w:type="paragraph" w:styleId="ListParagraph">
    <w:name w:val="List Paragraph"/>
    <w:basedOn w:val="Normal"/>
    <w:uiPriority w:val="34"/>
    <w:qFormat/>
    <w:rsid w:val="00EC1500"/>
    <w:pPr>
      <w:ind w:left="720"/>
      <w:contextualSpacing/>
    </w:pPr>
  </w:style>
  <w:style w:type="character" w:styleId="IntenseEmphasis">
    <w:name w:val="Intense Emphasis"/>
    <w:basedOn w:val="DefaultParagraphFont"/>
    <w:uiPriority w:val="21"/>
    <w:qFormat/>
    <w:rsid w:val="00EC1500"/>
    <w:rPr>
      <w:i/>
      <w:iCs/>
      <w:color w:val="0F4761" w:themeColor="accent1" w:themeShade="BF"/>
    </w:rPr>
  </w:style>
  <w:style w:type="paragraph" w:styleId="IntenseQuote">
    <w:name w:val="Intense Quote"/>
    <w:basedOn w:val="Normal"/>
    <w:next w:val="Normal"/>
    <w:link w:val="IntenseQuoteChar"/>
    <w:uiPriority w:val="30"/>
    <w:qFormat/>
    <w:rsid w:val="00EC1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500"/>
    <w:rPr>
      <w:rFonts w:ascii="Times New Roman" w:hAnsi="Times New Roman"/>
      <w:i/>
      <w:iCs/>
      <w:color w:val="0F4761" w:themeColor="accent1" w:themeShade="BF"/>
    </w:rPr>
  </w:style>
  <w:style w:type="character" w:styleId="IntenseReference">
    <w:name w:val="Intense Reference"/>
    <w:basedOn w:val="DefaultParagraphFont"/>
    <w:uiPriority w:val="32"/>
    <w:qFormat/>
    <w:rsid w:val="00EC1500"/>
    <w:rPr>
      <w:b/>
      <w:bCs/>
      <w:smallCaps/>
      <w:color w:val="0F4761" w:themeColor="accent1" w:themeShade="BF"/>
      <w:spacing w:val="5"/>
    </w:rPr>
  </w:style>
  <w:style w:type="paragraph" w:customStyle="1" w:styleId="font-claude-response-body">
    <w:name w:val="font-claude-response-body"/>
    <w:basedOn w:val="Normal"/>
    <w:rsid w:val="00E36C04"/>
    <w:pPr>
      <w:spacing w:before="100" w:beforeAutospacing="1" w:after="100" w:afterAutospacing="1" w:line="240" w:lineRule="auto"/>
      <w:jc w:val="left"/>
    </w:pPr>
    <w:rPr>
      <w:rFonts w:eastAsia="Times New Roman" w:cs="Times New Roman"/>
      <w:lang w:eastAsia="en-GB"/>
    </w:rPr>
  </w:style>
  <w:style w:type="character" w:styleId="Emphasis">
    <w:name w:val="Emphasis"/>
    <w:basedOn w:val="DefaultParagraphFont"/>
    <w:uiPriority w:val="20"/>
    <w:qFormat/>
    <w:rsid w:val="00E36C04"/>
    <w:rPr>
      <w:i/>
      <w:iCs/>
    </w:rPr>
  </w:style>
  <w:style w:type="character" w:styleId="Strong">
    <w:name w:val="Strong"/>
    <w:basedOn w:val="DefaultParagraphFont"/>
    <w:uiPriority w:val="22"/>
    <w:qFormat/>
    <w:rsid w:val="00E36C04"/>
    <w:rPr>
      <w:b/>
      <w:bCs/>
    </w:rPr>
  </w:style>
  <w:style w:type="character" w:customStyle="1" w:styleId="absolute">
    <w:name w:val="absolute"/>
    <w:basedOn w:val="DefaultParagraphFont"/>
    <w:rsid w:val="008A649E"/>
  </w:style>
  <w:style w:type="character" w:customStyle="1" w:styleId="inline-flex">
    <w:name w:val="inline-flex"/>
    <w:basedOn w:val="DefaultParagraphFont"/>
    <w:rsid w:val="008A649E"/>
  </w:style>
  <w:style w:type="character" w:customStyle="1" w:styleId="transition-all">
    <w:name w:val="transition-all"/>
    <w:basedOn w:val="DefaultParagraphFont"/>
    <w:rsid w:val="008A649E"/>
  </w:style>
  <w:style w:type="paragraph" w:customStyle="1" w:styleId="whitespace-pre-wrap">
    <w:name w:val="whitespace-pre-wrap"/>
    <w:basedOn w:val="Normal"/>
    <w:rsid w:val="008A649E"/>
    <w:pPr>
      <w:spacing w:before="100" w:beforeAutospacing="1" w:after="100" w:afterAutospacing="1" w:line="240" w:lineRule="auto"/>
      <w:jc w:val="left"/>
    </w:pPr>
    <w:rPr>
      <w:rFonts w:eastAsia="Times New Roman" w:cs="Times New Roman"/>
      <w:lang w:eastAsia="en-GB"/>
    </w:rPr>
  </w:style>
  <w:style w:type="character" w:customStyle="1" w:styleId="text-text-500">
    <w:name w:val="text-text-500"/>
    <w:basedOn w:val="DefaultParagraphFont"/>
    <w:rsid w:val="008A6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Smuts</dc:creator>
  <cp:keywords/>
  <dc:description/>
  <cp:lastModifiedBy>Jan Smuts</cp:lastModifiedBy>
  <cp:revision>6</cp:revision>
  <dcterms:created xsi:type="dcterms:W3CDTF">2026-04-28T12:10:00Z</dcterms:created>
  <dcterms:modified xsi:type="dcterms:W3CDTF">2026-05-29T16:09:00Z</dcterms:modified>
</cp:coreProperties>
</file>