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8123" w14:textId="77777777" w:rsidR="005E0A29" w:rsidRDefault="005E0A29">
      <w:pPr>
        <w:rPr>
          <w:lang w:val="en-US"/>
        </w:rPr>
      </w:pPr>
      <w:r>
        <w:rPr>
          <w:lang w:val="en-US"/>
        </w:rPr>
        <w:t>Thesis Proposal: Exchange Rate Pass-through in the South African Economy</w:t>
      </w:r>
    </w:p>
    <w:p w14:paraId="5C7EDAFA" w14:textId="77777777" w:rsidR="005E0A29" w:rsidRDefault="005E0A29">
      <w:pPr>
        <w:rPr>
          <w:lang w:val="en-US"/>
        </w:rPr>
      </w:pPr>
    </w:p>
    <w:p w14:paraId="06FD61B8" w14:textId="42E4E1EB" w:rsidR="005E0A29" w:rsidRDefault="005E0A29" w:rsidP="00692EB2">
      <w:pPr>
        <w:rPr>
          <w:lang w:val="en-US"/>
        </w:rPr>
      </w:pPr>
      <w:r>
        <w:rPr>
          <w:lang w:val="en-US"/>
        </w:rPr>
        <w:t xml:space="preserve"> </w:t>
      </w:r>
      <w:r w:rsidR="00692EB2">
        <w:rPr>
          <w:lang w:val="en-US"/>
        </w:rPr>
        <w:t xml:space="preserve">Estimate using various models: OLS, local projection and VAR. </w:t>
      </w:r>
    </w:p>
    <w:p w14:paraId="7DA9165D" w14:textId="50C6EA03" w:rsidR="00692EB2" w:rsidRDefault="00692EB2" w:rsidP="00692EB2">
      <w:pPr>
        <w:rPr>
          <w:lang w:val="en-US"/>
        </w:rPr>
      </w:pPr>
      <w:r>
        <w:rPr>
          <w:lang w:val="en-US"/>
        </w:rPr>
        <w:t xml:space="preserve">OECD has sufficiently long data, perhaps we can compare this to SARB’s numbers </w:t>
      </w:r>
      <w:proofErr w:type="gramStart"/>
      <w:r>
        <w:rPr>
          <w:lang w:val="en-US"/>
        </w:rPr>
        <w:t>and also</w:t>
      </w:r>
      <w:proofErr w:type="gramEnd"/>
      <w:r>
        <w:rPr>
          <w:lang w:val="en-US"/>
        </w:rPr>
        <w:t xml:space="preserve"> use the disaggregated SARB numbers to look at product-level impacts. </w:t>
      </w:r>
    </w:p>
    <w:p w14:paraId="126224C0" w14:textId="6F895508" w:rsidR="00692EB2" w:rsidRDefault="00692EB2" w:rsidP="00692EB2">
      <w:pPr>
        <w:rPr>
          <w:lang w:val="en-US"/>
        </w:rPr>
      </w:pPr>
      <w:r>
        <w:rPr>
          <w:lang w:val="en-US"/>
        </w:rPr>
        <w:t>Use terms of trade as another indicator?</w:t>
      </w:r>
    </w:p>
    <w:p w14:paraId="6A1E81D6" w14:textId="77777777" w:rsidR="00692EB2" w:rsidRDefault="00692EB2" w:rsidP="00692EB2">
      <w:pPr>
        <w:rPr>
          <w:lang w:val="en-US"/>
        </w:rPr>
      </w:pPr>
    </w:p>
    <w:p w14:paraId="692FB7B7" w14:textId="3843E305" w:rsidR="007643F0" w:rsidRDefault="007643F0" w:rsidP="00692EB2">
      <w:pPr>
        <w:rPr>
          <w:lang w:val="en-US"/>
        </w:rPr>
      </w:pPr>
      <w:r>
        <w:rPr>
          <w:lang w:val="en-US"/>
        </w:rPr>
        <w:t xml:space="preserve">Models used: Structural VAR, Local Projection, Factor-Augmented VAR (Bernanke et al., 2005, </w:t>
      </w:r>
      <w:proofErr w:type="spellStart"/>
      <w:r>
        <w:rPr>
          <w:lang w:val="en-US"/>
        </w:rPr>
        <w:t>Soobyah</w:t>
      </w:r>
      <w:proofErr w:type="spellEnd"/>
      <w:r>
        <w:rPr>
          <w:lang w:val="en-US"/>
        </w:rPr>
        <w:t xml:space="preserve"> &amp; Steenkamp, 2019)</w:t>
      </w:r>
    </w:p>
    <w:p w14:paraId="4D45B1BC" w14:textId="77777777" w:rsidR="007643F0" w:rsidRDefault="007643F0" w:rsidP="00692EB2">
      <w:pPr>
        <w:rPr>
          <w:lang w:val="en-US"/>
        </w:rPr>
      </w:pPr>
    </w:p>
    <w:p w14:paraId="1BB0FA37" w14:textId="77777777" w:rsidR="007643F0" w:rsidRDefault="007643F0" w:rsidP="00692EB2">
      <w:pPr>
        <w:rPr>
          <w:lang w:val="en-US"/>
        </w:rPr>
      </w:pPr>
    </w:p>
    <w:p w14:paraId="334E6FA8" w14:textId="77777777" w:rsidR="00692EB2" w:rsidRDefault="00692EB2">
      <w:pPr>
        <w:rPr>
          <w:lang w:val="en-US"/>
        </w:rPr>
      </w:pPr>
    </w:p>
    <w:p w14:paraId="60FD0354" w14:textId="11B597D3" w:rsidR="005E0A29" w:rsidRDefault="005E0A29" w:rsidP="005E0A29">
      <w:pPr>
        <w:pStyle w:val="ListParagraph"/>
        <w:numPr>
          <w:ilvl w:val="0"/>
          <w:numId w:val="1"/>
        </w:numPr>
        <w:rPr>
          <w:lang w:val="en-US"/>
        </w:rPr>
      </w:pPr>
      <w:r>
        <w:rPr>
          <w:lang w:val="en-US"/>
        </w:rPr>
        <w:t xml:space="preserve">The change in prices we anticipate following an appreciation or depreciation in the local currency. </w:t>
      </w:r>
    </w:p>
    <w:p w14:paraId="116349B9" w14:textId="16704681" w:rsidR="005E0A29" w:rsidRDefault="005E0A29" w:rsidP="005E0A29">
      <w:pPr>
        <w:pStyle w:val="ListParagraph"/>
        <w:numPr>
          <w:ilvl w:val="0"/>
          <w:numId w:val="1"/>
        </w:numPr>
        <w:rPr>
          <w:lang w:val="en-US"/>
        </w:rPr>
      </w:pPr>
      <w:r>
        <w:rPr>
          <w:lang w:val="en-US"/>
        </w:rPr>
        <w:t>In their extreme cases, Local Currency Pricing (LCP) means that goods are priced according to the home market. Such a model would imply that</w:t>
      </w:r>
      <w:r w:rsidR="00A408DE">
        <w:rPr>
          <w:lang w:val="en-US"/>
        </w:rPr>
        <w:t xml:space="preserve"> changes to the exchange rate are fully accounted for in the product price</w:t>
      </w:r>
      <w:r>
        <w:rPr>
          <w:lang w:val="en-US"/>
        </w:rPr>
        <w:t xml:space="preserve">. </w:t>
      </w:r>
      <w:r w:rsidRPr="005E0A29">
        <w:rPr>
          <w:lang w:val="en-US"/>
        </w:rPr>
        <w:t xml:space="preserve">Producer Currency Pricing (PCP) </w:t>
      </w:r>
      <w:r>
        <w:rPr>
          <w:lang w:val="en-US"/>
        </w:rPr>
        <w:t xml:space="preserve">prices goods </w:t>
      </w:r>
      <w:r w:rsidRPr="005E0A29">
        <w:rPr>
          <w:lang w:val="en-US"/>
        </w:rPr>
        <w:t xml:space="preserve">to the </w:t>
      </w:r>
      <w:r>
        <w:rPr>
          <w:lang w:val="en-US"/>
        </w:rPr>
        <w:t>foreign</w:t>
      </w:r>
      <w:r w:rsidRPr="005E0A29">
        <w:rPr>
          <w:lang w:val="en-US"/>
        </w:rPr>
        <w:t>. This means that (exogenous) changes in the exchange rate would have no nominal</w:t>
      </w:r>
      <w:r w:rsidR="000F345C">
        <w:rPr>
          <w:lang w:val="en-US"/>
        </w:rPr>
        <w:t>.</w:t>
      </w:r>
    </w:p>
    <w:p w14:paraId="36E596A1" w14:textId="758ED0EE" w:rsidR="000F345C" w:rsidRDefault="000F345C" w:rsidP="005E0A29">
      <w:pPr>
        <w:pStyle w:val="ListParagraph"/>
        <w:numPr>
          <w:ilvl w:val="0"/>
          <w:numId w:val="1"/>
        </w:numPr>
        <w:rPr>
          <w:lang w:val="en-US"/>
        </w:rPr>
      </w:pPr>
      <w:r>
        <w:rPr>
          <w:lang w:val="en-US"/>
        </w:rPr>
        <w:t>Papers that have investigated the quantitative results of LCP with staggered wage-price setting include Chari et al., (2000), Bergin &amp; Feenstra (2001), Kollmann, (2001) and Bergin (2002)</w:t>
      </w:r>
      <w:r w:rsidR="00934785">
        <w:rPr>
          <w:lang w:val="en-US"/>
        </w:rPr>
        <w:t xml:space="preserve">. </w:t>
      </w:r>
    </w:p>
    <w:p w14:paraId="19FC7FF3" w14:textId="1F5789DD" w:rsidR="00934785" w:rsidRDefault="00934785" w:rsidP="005E0A29">
      <w:pPr>
        <w:pStyle w:val="ListParagraph"/>
        <w:numPr>
          <w:ilvl w:val="0"/>
          <w:numId w:val="1"/>
        </w:numPr>
        <w:rPr>
          <w:lang w:val="en-US"/>
        </w:rPr>
      </w:pPr>
      <w:r>
        <w:rPr>
          <w:lang w:val="en-US"/>
        </w:rPr>
        <w:t xml:space="preserve">Previous studies have focused on cross-country estimates of </w:t>
      </w:r>
      <w:proofErr w:type="gramStart"/>
      <w:r>
        <w:rPr>
          <w:lang w:val="en-US"/>
        </w:rPr>
        <w:t>ERPT,</w:t>
      </w:r>
      <w:proofErr w:type="gramEnd"/>
      <w:r>
        <w:rPr>
          <w:lang w:val="en-US"/>
        </w:rPr>
        <w:t xml:space="preserve"> however this paper will focus on a single country (South Africa) and estimate cross-product estimates of ERPT. Through recovering product-level pass-through estimates, a more granular understanding of the effect of exchange rate shocks on producers and consumers is possible.  </w:t>
      </w:r>
    </w:p>
    <w:p w14:paraId="2D38BF81" w14:textId="2970A5EC" w:rsidR="00BB2354" w:rsidRDefault="00E3107A" w:rsidP="00E3107A">
      <w:pPr>
        <w:pStyle w:val="ListParagraph"/>
        <w:numPr>
          <w:ilvl w:val="0"/>
          <w:numId w:val="1"/>
        </w:numPr>
        <w:rPr>
          <w:lang w:val="en-US"/>
        </w:rPr>
      </w:pPr>
      <w:r>
        <w:rPr>
          <w:lang w:val="en-US"/>
        </w:rPr>
        <w:t xml:space="preserve">Potential issues with exchange rate shocks at product level will be partner effects: specific products’ prices may change due to changes in exchange rate with a single concentrated partner, which are not in line with changes to NEER. </w:t>
      </w:r>
    </w:p>
    <w:p w14:paraId="5F78F896" w14:textId="6B0AA1DE" w:rsidR="00FA7F90" w:rsidRPr="00E3107A" w:rsidRDefault="00FA7F90" w:rsidP="00E3107A">
      <w:pPr>
        <w:pStyle w:val="ListParagraph"/>
        <w:numPr>
          <w:ilvl w:val="0"/>
          <w:numId w:val="1"/>
        </w:numPr>
        <w:rPr>
          <w:lang w:val="en-US"/>
        </w:rPr>
      </w:pPr>
      <w:r>
        <w:rPr>
          <w:lang w:val="en-US"/>
        </w:rPr>
        <w:t xml:space="preserve">Not sure yet if, let alone where this fits in, but for a country like South Africa whose exports are dominated by a single commodity, exchange rate depreciation will impact exports not only via the income effect, but also through the substitution effect – lower </w:t>
      </w:r>
      <w:r>
        <w:rPr>
          <w:lang w:val="en-US"/>
        </w:rPr>
        <w:lastRenderedPageBreak/>
        <w:t xml:space="preserve">value of rand makes gold cheaper relative to other goods globally, which would induce even higher demand for gold. </w:t>
      </w:r>
    </w:p>
    <w:p w14:paraId="6AEBB306" w14:textId="52E89A29" w:rsidR="000F345C" w:rsidRPr="00934785" w:rsidRDefault="000F345C" w:rsidP="00934785">
      <w:pPr>
        <w:jc w:val="center"/>
        <w:rPr>
          <w:b/>
          <w:bCs/>
          <w:sz w:val="32"/>
          <w:szCs w:val="32"/>
          <w:lang w:val="en-US"/>
        </w:rPr>
      </w:pPr>
      <w:r w:rsidRPr="00934785">
        <w:rPr>
          <w:b/>
          <w:bCs/>
          <w:sz w:val="32"/>
          <w:szCs w:val="32"/>
          <w:lang w:val="en-US"/>
        </w:rPr>
        <w:t>Choudhri et al., 2005</w:t>
      </w:r>
    </w:p>
    <w:p w14:paraId="7DB6CFB4" w14:textId="597EF474" w:rsidR="000F345C" w:rsidRDefault="000F345C" w:rsidP="000F345C">
      <w:pPr>
        <w:pStyle w:val="ListParagraph"/>
        <w:numPr>
          <w:ilvl w:val="0"/>
          <w:numId w:val="2"/>
        </w:numPr>
        <w:rPr>
          <w:lang w:val="en-US"/>
        </w:rPr>
      </w:pPr>
      <w:r>
        <w:rPr>
          <w:lang w:val="en-US"/>
        </w:rPr>
        <w:t>Explores ability of different new open macroeconomic models to explain ERPT to a broad set of prices.</w:t>
      </w:r>
    </w:p>
    <w:p w14:paraId="076E7542" w14:textId="77777777" w:rsidR="000F345C" w:rsidRDefault="000F345C" w:rsidP="000F345C">
      <w:pPr>
        <w:pStyle w:val="ListParagraph"/>
        <w:numPr>
          <w:ilvl w:val="0"/>
          <w:numId w:val="2"/>
        </w:numPr>
        <w:rPr>
          <w:lang w:val="en-US"/>
        </w:rPr>
      </w:pPr>
      <w:r>
        <w:rPr>
          <w:lang w:val="en-US"/>
        </w:rPr>
        <w:t xml:space="preserve">Develops small economy that nests LCP &amp; PCP with price/wage dynamics. Assumes 2 goods (final and intermediate) and differentiated </w:t>
      </w:r>
      <w:proofErr w:type="spellStart"/>
      <w:r>
        <w:rPr>
          <w:lang w:val="en-US"/>
        </w:rPr>
        <w:t>labour</w:t>
      </w:r>
      <w:proofErr w:type="spellEnd"/>
      <w:r>
        <w:rPr>
          <w:lang w:val="en-US"/>
        </w:rPr>
        <w:t xml:space="preserve"> factor. This gives rise to 5 price indices: CPI, Producer &amp; export price indices (based on home and foreign prices of intermediate good), import index and wage index. Responses are compared with VAR results. </w:t>
      </w:r>
    </w:p>
    <w:p w14:paraId="7FCF4EAD" w14:textId="3453E02B" w:rsidR="000F345C" w:rsidRDefault="000F345C" w:rsidP="000F345C">
      <w:pPr>
        <w:pStyle w:val="ListParagraph"/>
        <w:numPr>
          <w:ilvl w:val="0"/>
          <w:numId w:val="2"/>
        </w:numPr>
        <w:rPr>
          <w:lang w:val="en-US"/>
        </w:rPr>
      </w:pPr>
      <w:r>
        <w:rPr>
          <w:lang w:val="en-US"/>
        </w:rPr>
        <w:t xml:space="preserve">VAR suggests ERPT to consumer prices and wages is low in SR and near zero in first quarter. Pass-through to imports and exports is slightly larger but incomplete in SR and a fourth for imports in first Q and a half for export prices. </w:t>
      </w:r>
    </w:p>
    <w:p w14:paraId="7035C2C5" w14:textId="7C56F3E8" w:rsidR="000F345C" w:rsidRDefault="000F345C" w:rsidP="000F345C">
      <w:pPr>
        <w:pStyle w:val="ListParagraph"/>
        <w:numPr>
          <w:ilvl w:val="0"/>
          <w:numId w:val="2"/>
        </w:numPr>
        <w:rPr>
          <w:lang w:val="en-US"/>
        </w:rPr>
      </w:pPr>
      <w:r>
        <w:rPr>
          <w:lang w:val="en-US"/>
        </w:rPr>
        <w:t xml:space="preserve">Exchange rate shock is viewed as the shock to the interest parity relation (see Devereux &amp; Engel (2002) and Jeanne &amp; Rose (2002). </w:t>
      </w:r>
    </w:p>
    <w:p w14:paraId="2E43A7FE" w14:textId="6F7A77D5" w:rsidR="000F345C" w:rsidRDefault="000F345C" w:rsidP="000F345C">
      <w:pPr>
        <w:pStyle w:val="ListParagraph"/>
        <w:numPr>
          <w:ilvl w:val="0"/>
          <w:numId w:val="2"/>
        </w:numPr>
        <w:rPr>
          <w:lang w:val="en-US"/>
        </w:rPr>
      </w:pPr>
      <w:r>
        <w:rPr>
          <w:lang w:val="en-US"/>
        </w:rPr>
        <w:t xml:space="preserve">Interest &amp; Exchange rate equations have coefficients of log prices and wages equal to zero as interest and exchange rates are high-frequency indicators, the others are less frequently reported due to collection times. Given that prices in the goods and </w:t>
      </w:r>
      <w:proofErr w:type="spellStart"/>
      <w:r>
        <w:rPr>
          <w:lang w:val="en-US"/>
        </w:rPr>
        <w:t>labour</w:t>
      </w:r>
      <w:proofErr w:type="spellEnd"/>
      <w:r>
        <w:rPr>
          <w:lang w:val="en-US"/>
        </w:rPr>
        <w:t xml:space="preserve"> market are observed with a one period lag, it is assumed that structural shocks to interest and exchange rates are not contemporaneously correlated with goods and </w:t>
      </w:r>
      <w:proofErr w:type="spellStart"/>
      <w:r>
        <w:rPr>
          <w:lang w:val="en-US"/>
        </w:rPr>
        <w:t>labour</w:t>
      </w:r>
      <w:proofErr w:type="spellEnd"/>
      <w:r>
        <w:rPr>
          <w:lang w:val="en-US"/>
        </w:rPr>
        <w:t xml:space="preserve"> market prices. </w:t>
      </w:r>
    </w:p>
    <w:p w14:paraId="4E4211AC" w14:textId="5C65B423" w:rsidR="00D73E4C" w:rsidRPr="00D73E4C" w:rsidRDefault="00D73E4C" w:rsidP="00D73E4C">
      <w:pPr>
        <w:ind w:left="360"/>
        <w:rPr>
          <w:b/>
          <w:bCs/>
          <w:lang w:val="en-US"/>
        </w:rPr>
      </w:pPr>
      <w:r w:rsidRPr="00D73E4C">
        <w:rPr>
          <w:b/>
          <w:bCs/>
          <w:lang w:val="en-US"/>
        </w:rPr>
        <w:t>VAR</w:t>
      </w:r>
      <w:r>
        <w:rPr>
          <w:b/>
          <w:bCs/>
          <w:lang w:val="en-US"/>
        </w:rPr>
        <w:t xml:space="preserve"> Structure</w:t>
      </w:r>
      <w:r w:rsidRPr="00D73E4C">
        <w:rPr>
          <w:b/>
          <w:bCs/>
          <w:lang w:val="en-US"/>
        </w:rPr>
        <w:t>:</w:t>
      </w:r>
    </w:p>
    <w:p w14:paraId="12021124" w14:textId="3864715C" w:rsidR="00D73E4C" w:rsidRDefault="00D73E4C" w:rsidP="00D73E4C">
      <w:pPr>
        <w:pStyle w:val="ListParagraph"/>
        <w:numPr>
          <w:ilvl w:val="0"/>
          <w:numId w:val="3"/>
        </w:numPr>
        <w:rPr>
          <w:lang w:val="en-US"/>
        </w:rPr>
      </w:pPr>
      <w:r>
        <w:rPr>
          <w:lang w:val="en-US"/>
        </w:rPr>
        <w:t xml:space="preserve">Quarterly data from 1971:1 to 2001:3 is used. </w:t>
      </w:r>
    </w:p>
    <w:p w14:paraId="26BB3AF1" w14:textId="00A9B36D" w:rsidR="00D73E4C" w:rsidRDefault="00D73E4C" w:rsidP="00D73E4C">
      <w:pPr>
        <w:pStyle w:val="ListParagraph"/>
        <w:numPr>
          <w:ilvl w:val="0"/>
          <w:numId w:val="3"/>
        </w:numPr>
        <w:rPr>
          <w:lang w:val="en-US"/>
        </w:rPr>
      </w:pPr>
      <w:r>
        <w:rPr>
          <w:lang w:val="en-US"/>
        </w:rPr>
        <w:t xml:space="preserve">Import and export unit values and wages are from OECD analytical database, CPI and NEER and all other data are retrieved from IMF databases.  </w:t>
      </w:r>
    </w:p>
    <w:p w14:paraId="57315E12" w14:textId="48B1CFEB" w:rsidR="00D73E4C" w:rsidRPr="00D73E4C" w:rsidRDefault="00D73E4C" w:rsidP="00D73E4C">
      <w:pPr>
        <w:pStyle w:val="ListParagraph"/>
        <w:numPr>
          <w:ilvl w:val="0"/>
          <w:numId w:val="3"/>
        </w:numPr>
        <w:rPr>
          <w:lang w:val="en-US"/>
        </w:rPr>
      </w:pPr>
      <w:r w:rsidRPr="00D73E4C">
        <w:rPr>
          <w:lang w:val="en-US"/>
        </w:rPr>
        <w:t>Interest rate is determined by monetary policy rule.</w:t>
      </w:r>
    </w:p>
    <w:p w14:paraId="2E290E9A" w14:textId="207EADF3" w:rsidR="00D73E4C" w:rsidRPr="00D73E4C" w:rsidRDefault="00D73E4C" w:rsidP="00D73E4C">
      <w:pPr>
        <w:pStyle w:val="ListParagraph"/>
        <w:numPr>
          <w:ilvl w:val="0"/>
          <w:numId w:val="3"/>
        </w:numPr>
        <w:rPr>
          <w:lang w:val="en-US"/>
        </w:rPr>
      </w:pPr>
      <w:r w:rsidRPr="00D73E4C">
        <w:rPr>
          <w:lang w:val="en-US"/>
        </w:rPr>
        <w:t>Exchange rate is determined by UIP, ER shock is a shock to IRP.</w:t>
      </w:r>
    </w:p>
    <w:p w14:paraId="27DEA347" w14:textId="1CCE0DDF" w:rsidR="00D73E4C" w:rsidRDefault="00D73E4C" w:rsidP="00D73E4C">
      <w:pPr>
        <w:pStyle w:val="ListParagraph"/>
        <w:numPr>
          <w:ilvl w:val="0"/>
          <w:numId w:val="3"/>
        </w:numPr>
        <w:rPr>
          <w:lang w:val="en-US"/>
        </w:rPr>
      </w:pPr>
      <w:r w:rsidRPr="00D73E4C">
        <w:rPr>
          <w:lang w:val="en-US"/>
        </w:rPr>
        <w:t xml:space="preserve">Prices (M, X, Y, C) and Wages have coefficients equal to 0 for interest and exchange rates. This is </w:t>
      </w:r>
      <w:r>
        <w:rPr>
          <w:lang w:val="en-US"/>
        </w:rPr>
        <w:t xml:space="preserve">based on the observation that prices in asset market (R and S) fluctuate with high frequency, prices in goods and </w:t>
      </w:r>
      <w:proofErr w:type="spellStart"/>
      <w:r>
        <w:rPr>
          <w:lang w:val="en-US"/>
        </w:rPr>
        <w:t>labour</w:t>
      </w:r>
      <w:proofErr w:type="spellEnd"/>
      <w:r>
        <w:rPr>
          <w:lang w:val="en-US"/>
        </w:rPr>
        <w:t xml:space="preserve"> markets are reported less frequently</w:t>
      </w:r>
      <w:r>
        <w:rPr>
          <w:rStyle w:val="FootnoteReference"/>
          <w:lang w:val="en-US"/>
        </w:rPr>
        <w:footnoteReference w:id="1"/>
      </w:r>
      <w:r>
        <w:rPr>
          <w:lang w:val="en-US"/>
        </w:rPr>
        <w:t xml:space="preserve">. </w:t>
      </w:r>
    </w:p>
    <w:p w14:paraId="37060DB7" w14:textId="1671FB65" w:rsidR="00D73E4C" w:rsidRPr="00D73E4C" w:rsidRDefault="00D73E4C" w:rsidP="00D73E4C">
      <w:pPr>
        <w:pStyle w:val="ListParagraph"/>
        <w:numPr>
          <w:ilvl w:val="0"/>
          <w:numId w:val="3"/>
        </w:numPr>
        <w:rPr>
          <w:lang w:val="en-US"/>
        </w:rPr>
      </w:pPr>
      <w:r>
        <w:rPr>
          <w:lang w:val="en-US"/>
        </w:rPr>
        <w:lastRenderedPageBreak/>
        <w:t xml:space="preserve">Prices of goods and </w:t>
      </w:r>
      <w:proofErr w:type="spellStart"/>
      <w:r>
        <w:rPr>
          <w:lang w:val="en-US"/>
        </w:rPr>
        <w:t>labour</w:t>
      </w:r>
      <w:proofErr w:type="spellEnd"/>
      <w:r>
        <w:rPr>
          <w:lang w:val="en-US"/>
        </w:rPr>
        <w:t xml:space="preserve"> markets are reported with at least a 1 period lag, meaning R &amp; S shocks are uncorrelated with contemporaneous prices. </w:t>
      </w:r>
    </w:p>
    <w:p w14:paraId="5A3B23B3" w14:textId="44A03748" w:rsidR="00D73E4C" w:rsidRPr="00D73E4C" w:rsidRDefault="00D73E4C" w:rsidP="00D73E4C">
      <w:pPr>
        <w:pStyle w:val="ListParagraph"/>
        <w:numPr>
          <w:ilvl w:val="0"/>
          <w:numId w:val="3"/>
        </w:numPr>
        <w:rPr>
          <w:lang w:val="en-US"/>
        </w:rPr>
      </w:pPr>
      <w:r w:rsidRPr="00D73E4C">
        <w:rPr>
          <w:lang w:val="en-US"/>
        </w:rPr>
        <w:t>Exchange rate has coefficient equal to 0 for interest rate</w:t>
      </w:r>
      <w:r>
        <w:rPr>
          <w:lang w:val="en-US"/>
        </w:rPr>
        <w:t xml:space="preserve">. This is based </w:t>
      </w:r>
    </w:p>
    <w:p w14:paraId="691EF004" w14:textId="7FE48CB6" w:rsidR="00D73E4C" w:rsidRPr="00D73E4C" w:rsidRDefault="00D73E4C" w:rsidP="00D73E4C">
      <w:pPr>
        <w:ind w:left="2160"/>
        <w:rPr>
          <w:lang w:val="en-US"/>
        </w:rPr>
      </w:pPr>
      <w:r>
        <w:rPr>
          <w:lang w:val="en-US"/>
        </w:rPr>
        <w:t xml:space="preserve">   </w:t>
      </w:r>
    </w:p>
    <w:p w14:paraId="202E6BAF" w14:textId="77777777" w:rsidR="00D73E4C" w:rsidRDefault="00D73E4C" w:rsidP="00934785">
      <w:pPr>
        <w:rPr>
          <w:lang w:val="en-US"/>
        </w:rPr>
      </w:pPr>
    </w:p>
    <w:p w14:paraId="6F751AAE" w14:textId="77777777" w:rsidR="00AF1717" w:rsidRDefault="00AF1717" w:rsidP="00934785">
      <w:pPr>
        <w:rPr>
          <w:lang w:val="en-US"/>
        </w:rPr>
      </w:pPr>
    </w:p>
    <w:p w14:paraId="1F4A4774" w14:textId="77777777" w:rsidR="00AF1717" w:rsidRDefault="00AF1717" w:rsidP="00934785">
      <w:pPr>
        <w:rPr>
          <w:lang w:val="en-US"/>
        </w:rPr>
      </w:pPr>
    </w:p>
    <w:p w14:paraId="4F8D80CF" w14:textId="77777777" w:rsidR="00AF1717" w:rsidRDefault="00AF1717" w:rsidP="00934785">
      <w:pPr>
        <w:rPr>
          <w:lang w:val="en-US"/>
        </w:rPr>
      </w:pPr>
    </w:p>
    <w:p w14:paraId="7A869C82" w14:textId="77777777" w:rsidR="00934785" w:rsidRDefault="00934785" w:rsidP="00934785">
      <w:pPr>
        <w:rPr>
          <w:lang w:val="en-US"/>
        </w:rPr>
      </w:pPr>
    </w:p>
    <w:p w14:paraId="3DA17FD2" w14:textId="1DE6041A" w:rsidR="00934785" w:rsidRDefault="00934785" w:rsidP="00934785">
      <w:pPr>
        <w:jc w:val="center"/>
        <w:rPr>
          <w:b/>
          <w:bCs/>
          <w:sz w:val="32"/>
          <w:szCs w:val="32"/>
          <w:lang w:val="en-US"/>
        </w:rPr>
      </w:pPr>
      <w:r w:rsidRPr="00934785">
        <w:rPr>
          <w:b/>
          <w:bCs/>
          <w:sz w:val="32"/>
          <w:szCs w:val="32"/>
          <w:lang w:val="en-US"/>
        </w:rPr>
        <w:t xml:space="preserve">Ortega &amp; </w:t>
      </w:r>
      <w:proofErr w:type="spellStart"/>
      <w:r w:rsidRPr="00934785">
        <w:rPr>
          <w:b/>
          <w:bCs/>
          <w:sz w:val="32"/>
          <w:szCs w:val="32"/>
          <w:lang w:val="en-US"/>
        </w:rPr>
        <w:t>Osbat</w:t>
      </w:r>
      <w:proofErr w:type="spellEnd"/>
      <w:r w:rsidRPr="00934785">
        <w:rPr>
          <w:b/>
          <w:bCs/>
          <w:sz w:val="32"/>
          <w:szCs w:val="32"/>
          <w:lang w:val="en-US"/>
        </w:rPr>
        <w:t>, 2020</w:t>
      </w:r>
    </w:p>
    <w:p w14:paraId="6A84B731" w14:textId="7E22E8F7" w:rsidR="00934785" w:rsidRDefault="00934785" w:rsidP="00934785">
      <w:pPr>
        <w:pStyle w:val="ListParagraph"/>
        <w:numPr>
          <w:ilvl w:val="0"/>
          <w:numId w:val="7"/>
        </w:numPr>
        <w:jc w:val="left"/>
        <w:rPr>
          <w:lang w:val="en-US"/>
        </w:rPr>
      </w:pPr>
      <w:r>
        <w:rPr>
          <w:lang w:val="en-US"/>
        </w:rPr>
        <w:t xml:space="preserve">ERPT refers to the degree to which a country’s import, producer or consumer prices change in response to a change in its exchange rate. Specifically, it is the percentage change in prices in response to a 1% change in the exchange rate. </w:t>
      </w:r>
    </w:p>
    <w:p w14:paraId="7212DBC0" w14:textId="77777777" w:rsidR="00934785" w:rsidRDefault="00934785" w:rsidP="00934785">
      <w:pPr>
        <w:pStyle w:val="ListParagraph"/>
        <w:numPr>
          <w:ilvl w:val="0"/>
          <w:numId w:val="7"/>
        </w:numPr>
        <w:jc w:val="left"/>
        <w:rPr>
          <w:lang w:val="en-US"/>
        </w:rPr>
      </w:pPr>
      <w:r>
        <w:rPr>
          <w:lang w:val="en-US"/>
        </w:rPr>
        <w:t xml:space="preserve">Extent and duration of the ERPT to import prices at the border and to the final consumer prices is critically important for understanding the influence of the exchange rate on inflation. </w:t>
      </w:r>
    </w:p>
    <w:p w14:paraId="3B5E81FE" w14:textId="77777777" w:rsidR="00934785" w:rsidRDefault="00934785" w:rsidP="00934785">
      <w:pPr>
        <w:pStyle w:val="ListParagraph"/>
        <w:numPr>
          <w:ilvl w:val="0"/>
          <w:numId w:val="7"/>
        </w:numPr>
        <w:jc w:val="left"/>
        <w:rPr>
          <w:lang w:val="en-US"/>
        </w:rPr>
      </w:pPr>
      <w:r>
        <w:rPr>
          <w:lang w:val="en-US"/>
        </w:rPr>
        <w:t xml:space="preserve">ERPT is useful for inflation forecasting and monetary policy setting as well as for understanding changes in the real economy that result from expenditure switching. </w:t>
      </w:r>
    </w:p>
    <w:p w14:paraId="06211ED2" w14:textId="6C5B0C31" w:rsidR="00934785" w:rsidRDefault="00934785" w:rsidP="00934785">
      <w:pPr>
        <w:pStyle w:val="ListParagraph"/>
        <w:numPr>
          <w:ilvl w:val="0"/>
          <w:numId w:val="7"/>
        </w:numPr>
        <w:jc w:val="left"/>
        <w:rPr>
          <w:lang w:val="en-US"/>
        </w:rPr>
      </w:pPr>
      <w:proofErr w:type="gramStart"/>
      <w:r>
        <w:rPr>
          <w:lang w:val="en-US"/>
        </w:rPr>
        <w:t>Typically</w:t>
      </w:r>
      <w:proofErr w:type="gramEnd"/>
      <w:r>
        <w:rPr>
          <w:lang w:val="en-US"/>
        </w:rPr>
        <w:t xml:space="preserve"> ERPT declines along price distribution chain: from import prices through producer prices to final consumer prices. Thus, it can be said to be incomplete as responses are less than one-to-one to ER changes over the horizon. </w:t>
      </w:r>
    </w:p>
    <w:p w14:paraId="0486FF31" w14:textId="1C4ED1A8" w:rsidR="00934785" w:rsidRDefault="00934785" w:rsidP="00934785">
      <w:pPr>
        <w:pStyle w:val="ListParagraph"/>
        <w:numPr>
          <w:ilvl w:val="0"/>
          <w:numId w:val="7"/>
        </w:numPr>
        <w:jc w:val="left"/>
        <w:rPr>
          <w:lang w:val="en-US"/>
        </w:rPr>
      </w:pPr>
      <w:r>
        <w:rPr>
          <w:lang w:val="en-US"/>
        </w:rPr>
        <w:t xml:space="preserve">  Academic discussions and policy models assume ERPT to be linear and stable over time, however there are challenges to these assumptions. Related to stability, fundamental pricing decisions of firms may have changed with globalization and increasing integration of production networks. </w:t>
      </w:r>
      <w:proofErr w:type="gramStart"/>
      <w:r>
        <w:rPr>
          <w:lang w:val="en-US"/>
        </w:rPr>
        <w:t>With regard to</w:t>
      </w:r>
      <w:proofErr w:type="gramEnd"/>
      <w:r>
        <w:rPr>
          <w:lang w:val="en-US"/>
        </w:rPr>
        <w:t xml:space="preserve"> linearity, </w:t>
      </w:r>
      <w:r w:rsidR="0085598C">
        <w:rPr>
          <w:lang w:val="en-US"/>
        </w:rPr>
        <w:t xml:space="preserve">the pass-through magnitude and direction may vary depending on the nature of the shock. </w:t>
      </w:r>
    </w:p>
    <w:p w14:paraId="74D551E8" w14:textId="77777777" w:rsidR="0085598C" w:rsidRDefault="0085598C" w:rsidP="0085598C">
      <w:pPr>
        <w:jc w:val="left"/>
        <w:rPr>
          <w:lang w:val="en-US"/>
        </w:rPr>
      </w:pPr>
    </w:p>
    <w:p w14:paraId="34F2B46C" w14:textId="0CDDFFC6" w:rsidR="0085598C" w:rsidRDefault="0085598C" w:rsidP="0085598C">
      <w:pPr>
        <w:pStyle w:val="ListParagraph"/>
        <w:numPr>
          <w:ilvl w:val="0"/>
          <w:numId w:val="7"/>
        </w:numPr>
        <w:jc w:val="left"/>
        <w:rPr>
          <w:lang w:val="en-US"/>
        </w:rPr>
      </w:pPr>
      <w:r>
        <w:rPr>
          <w:lang w:val="en-US"/>
        </w:rPr>
        <w:t xml:space="preserve">Paper aims to establish empirical facts about the ERPT in the euro area and in the EU member states, investigating cross-country differences and differences over time, whether ERPT is linear or non-linear, how structural heterogeneity across time and countries affect ERPT. </w:t>
      </w:r>
    </w:p>
    <w:p w14:paraId="04649EDF" w14:textId="67C565A2" w:rsidR="0085598C" w:rsidRDefault="0085598C" w:rsidP="0085598C">
      <w:pPr>
        <w:pStyle w:val="ListParagraph"/>
        <w:numPr>
          <w:ilvl w:val="0"/>
          <w:numId w:val="7"/>
        </w:numPr>
        <w:jc w:val="left"/>
        <w:rPr>
          <w:lang w:val="en-US"/>
        </w:rPr>
      </w:pPr>
      <w:r>
        <w:rPr>
          <w:lang w:val="en-US"/>
        </w:rPr>
        <w:t xml:space="preserve">Analyses shock-dependence through DSGE models and SVAR models. </w:t>
      </w:r>
    </w:p>
    <w:p w14:paraId="10522707" w14:textId="4DDCB8D8" w:rsidR="0085598C" w:rsidRPr="0085598C" w:rsidRDefault="0085598C" w:rsidP="0085598C">
      <w:pPr>
        <w:pStyle w:val="ListParagraph"/>
        <w:numPr>
          <w:ilvl w:val="0"/>
          <w:numId w:val="7"/>
        </w:numPr>
        <w:jc w:val="left"/>
        <w:rPr>
          <w:lang w:val="en-US"/>
        </w:rPr>
      </w:pPr>
      <w:r>
        <w:rPr>
          <w:lang w:val="en-US"/>
        </w:rPr>
        <w:t xml:space="preserve">Establishes semantic discipline in review of previous results. </w:t>
      </w:r>
    </w:p>
    <w:p w14:paraId="3D77A8B3" w14:textId="77777777" w:rsidR="00934785" w:rsidRDefault="00934785" w:rsidP="00934785">
      <w:pPr>
        <w:jc w:val="left"/>
        <w:rPr>
          <w:lang w:val="en-US"/>
        </w:rPr>
      </w:pPr>
    </w:p>
    <w:p w14:paraId="76B42FBE" w14:textId="67CC41E9" w:rsidR="00E3107A" w:rsidRDefault="00E3107A" w:rsidP="00E3107A">
      <w:pPr>
        <w:jc w:val="center"/>
        <w:rPr>
          <w:b/>
          <w:bCs/>
          <w:sz w:val="32"/>
          <w:szCs w:val="32"/>
          <w:lang w:val="en-US"/>
        </w:rPr>
      </w:pPr>
      <w:r>
        <w:rPr>
          <w:b/>
          <w:bCs/>
          <w:sz w:val="32"/>
          <w:szCs w:val="32"/>
          <w:lang w:val="en-US"/>
        </w:rPr>
        <w:t>Shambaugh, 2008</w:t>
      </w:r>
    </w:p>
    <w:p w14:paraId="5DED7835" w14:textId="1080A149" w:rsidR="00E3107A" w:rsidRDefault="00E3107A" w:rsidP="00E3107A">
      <w:pPr>
        <w:pStyle w:val="ListParagraph"/>
        <w:numPr>
          <w:ilvl w:val="0"/>
          <w:numId w:val="8"/>
        </w:numPr>
        <w:jc w:val="left"/>
        <w:rPr>
          <w:lang w:val="en-US"/>
        </w:rPr>
      </w:pPr>
      <w:r>
        <w:rPr>
          <w:lang w:val="en-US"/>
        </w:rPr>
        <w:t>ERPT: degree to which exchange rate changes are passed through to price level changes.</w:t>
      </w:r>
    </w:p>
    <w:p w14:paraId="7F133119" w14:textId="1AC9384A" w:rsidR="00E3107A" w:rsidRDefault="00E3107A" w:rsidP="00E3107A">
      <w:pPr>
        <w:pStyle w:val="ListParagraph"/>
        <w:numPr>
          <w:ilvl w:val="0"/>
          <w:numId w:val="8"/>
        </w:numPr>
        <w:jc w:val="left"/>
        <w:rPr>
          <w:lang w:val="en-US"/>
        </w:rPr>
      </w:pPr>
      <w:r>
        <w:rPr>
          <w:lang w:val="en-US"/>
        </w:rPr>
        <w:t xml:space="preserve">Helps determine </w:t>
      </w:r>
      <w:proofErr w:type="spellStart"/>
      <w:r>
        <w:rPr>
          <w:lang w:val="en-US"/>
        </w:rPr>
        <w:t>i</w:t>
      </w:r>
      <w:proofErr w:type="spellEnd"/>
      <w:r>
        <w:rPr>
          <w:lang w:val="en-US"/>
        </w:rPr>
        <w:t>) exchange rate volatility, ii) response of terms of trade/trade balance to ER changes iii) optimal monetary policy and ER regime.</w:t>
      </w:r>
    </w:p>
    <w:p w14:paraId="597D302E" w14:textId="63221B4C" w:rsidR="00E3107A" w:rsidRDefault="00E3107A" w:rsidP="00E3107A">
      <w:pPr>
        <w:pStyle w:val="ListParagraph"/>
        <w:numPr>
          <w:ilvl w:val="0"/>
          <w:numId w:val="8"/>
        </w:numPr>
        <w:jc w:val="left"/>
        <w:rPr>
          <w:lang w:val="en-US"/>
        </w:rPr>
      </w:pPr>
      <w:r>
        <w:rPr>
          <w:lang w:val="en-US"/>
        </w:rPr>
        <w:t xml:space="preserve">ERPRT estimates vary across countries and time. It may be that PT differences simply reflect different types of shocks to economies. This might result from assuming that changes to exchange rates themselves are the shocks, rather than shocks causing changes to the exchange rate. </w:t>
      </w:r>
    </w:p>
    <w:p w14:paraId="38DDB957" w14:textId="004C8E18" w:rsidR="00E3107A" w:rsidRDefault="00E3107A" w:rsidP="00E3107A">
      <w:pPr>
        <w:pStyle w:val="ListParagraph"/>
        <w:numPr>
          <w:ilvl w:val="0"/>
          <w:numId w:val="8"/>
        </w:numPr>
        <w:jc w:val="left"/>
        <w:rPr>
          <w:lang w:val="en-US"/>
        </w:rPr>
      </w:pPr>
      <w:r>
        <w:rPr>
          <w:lang w:val="en-US"/>
        </w:rPr>
        <w:t xml:space="preserve">PT to price level will depend on the way in which domestic and import prices interact and the reaction of the overall economy to increase in import prices. </w:t>
      </w:r>
    </w:p>
    <w:p w14:paraId="705220DE" w14:textId="3CAFB28F" w:rsidR="00E3107A" w:rsidRPr="00E3107A" w:rsidRDefault="00E3107A" w:rsidP="00E3107A">
      <w:pPr>
        <w:pStyle w:val="ListParagraph"/>
        <w:numPr>
          <w:ilvl w:val="0"/>
          <w:numId w:val="8"/>
        </w:numPr>
        <w:jc w:val="left"/>
        <w:rPr>
          <w:sz w:val="32"/>
          <w:szCs w:val="32"/>
          <w:lang w:val="en-US"/>
        </w:rPr>
      </w:pPr>
      <w:r w:rsidRPr="00E3107A">
        <w:rPr>
          <w:lang w:val="en-US"/>
        </w:rPr>
        <w:t xml:space="preserve">Price </w:t>
      </w:r>
      <w:proofErr w:type="gramStart"/>
      <w:r w:rsidRPr="00E3107A">
        <w:rPr>
          <w:lang w:val="en-US"/>
        </w:rPr>
        <w:t>setters</w:t>
      </w:r>
      <w:proofErr w:type="gramEnd"/>
      <w:r w:rsidRPr="00E3107A">
        <w:rPr>
          <w:lang w:val="en-US"/>
        </w:rPr>
        <w:t xml:space="preserve"> reactions may depend on why exchange rate is changing. Previous studies failed to adjust for the fact that foreign costs and exchange rate may be changing at the same time, which can lead to inaccurate PT estimates. </w:t>
      </w:r>
    </w:p>
    <w:p w14:paraId="79B0B9AD" w14:textId="6811F540" w:rsidR="00E3107A" w:rsidRPr="00E3107A" w:rsidRDefault="00E3107A" w:rsidP="00E3107A">
      <w:pPr>
        <w:pStyle w:val="ListParagraph"/>
        <w:numPr>
          <w:ilvl w:val="0"/>
          <w:numId w:val="8"/>
        </w:numPr>
        <w:jc w:val="left"/>
        <w:rPr>
          <w:sz w:val="32"/>
          <w:szCs w:val="32"/>
          <w:lang w:val="en-US"/>
        </w:rPr>
      </w:pPr>
      <w:r>
        <w:rPr>
          <w:lang w:val="en-US"/>
        </w:rPr>
        <w:t xml:space="preserve">Changes in money supply is not a sufficient way to identify monetary shocks as money and monetary policy respond endogenously to other variables. Assumptions around short-run </w:t>
      </w:r>
      <w:proofErr w:type="spellStart"/>
      <w:r>
        <w:rPr>
          <w:lang w:val="en-US"/>
        </w:rPr>
        <w:t>behaviour</w:t>
      </w:r>
      <w:proofErr w:type="spellEnd"/>
      <w:r>
        <w:rPr>
          <w:lang w:val="en-US"/>
        </w:rPr>
        <w:t xml:space="preserve"> of money and prices lead to disparate results.</w:t>
      </w:r>
    </w:p>
    <w:p w14:paraId="0CDA6CCB" w14:textId="4A984CF5" w:rsidR="00E3107A" w:rsidRPr="00E3107A" w:rsidRDefault="00E3107A" w:rsidP="00E3107A">
      <w:pPr>
        <w:pStyle w:val="ListParagraph"/>
        <w:numPr>
          <w:ilvl w:val="0"/>
          <w:numId w:val="8"/>
        </w:numPr>
        <w:jc w:val="left"/>
        <w:rPr>
          <w:sz w:val="32"/>
          <w:szCs w:val="32"/>
          <w:lang w:val="en-US"/>
        </w:rPr>
      </w:pPr>
      <w:r>
        <w:rPr>
          <w:b/>
          <w:bCs/>
          <w:lang w:val="en-US"/>
        </w:rPr>
        <w:t xml:space="preserve">Identification strategy relies on accepted theoretical predictions about LR </w:t>
      </w:r>
      <w:proofErr w:type="spellStart"/>
      <w:r>
        <w:rPr>
          <w:b/>
          <w:bCs/>
          <w:lang w:val="en-US"/>
        </w:rPr>
        <w:t>behaviour</w:t>
      </w:r>
      <w:proofErr w:type="spellEnd"/>
      <w:r>
        <w:rPr>
          <w:b/>
          <w:bCs/>
          <w:lang w:val="en-US"/>
        </w:rPr>
        <w:t xml:space="preserve"> of variables</w:t>
      </w:r>
      <w:r>
        <w:rPr>
          <w:rStyle w:val="FootnoteReference"/>
          <w:b/>
          <w:bCs/>
          <w:lang w:val="en-US"/>
        </w:rPr>
        <w:footnoteReference w:id="2"/>
      </w:r>
      <w:r>
        <w:rPr>
          <w:b/>
          <w:bCs/>
          <w:lang w:val="en-US"/>
        </w:rPr>
        <w:t xml:space="preserve">. </w:t>
      </w:r>
    </w:p>
    <w:p w14:paraId="07824B67" w14:textId="6AC1267B" w:rsidR="00E3107A" w:rsidRPr="00E3107A" w:rsidRDefault="00E3107A" w:rsidP="00E3107A">
      <w:pPr>
        <w:pStyle w:val="ListParagraph"/>
        <w:numPr>
          <w:ilvl w:val="0"/>
          <w:numId w:val="8"/>
        </w:numPr>
        <w:jc w:val="left"/>
        <w:rPr>
          <w:sz w:val="32"/>
          <w:szCs w:val="32"/>
          <w:lang w:val="en-US"/>
        </w:rPr>
      </w:pPr>
      <w:r>
        <w:rPr>
          <w:lang w:val="en-US"/>
        </w:rPr>
        <w:t>Pass-through varies with type of shock – explains why previous pass-through may not be a good indicator of price response to exchange rate changes. At the same time, import price pass-through does not vary substantially across different shocks – supply, demand and nominal shocks change import prices and exchange rates in same direction, with pass-through roughly equal to 1. This is evidence that LCP is not widely pursued.</w:t>
      </w:r>
    </w:p>
    <w:p w14:paraId="5FB79AC8" w14:textId="4BD3568A" w:rsidR="00E3107A" w:rsidRPr="00AF1717" w:rsidRDefault="00E3107A" w:rsidP="00E3107A">
      <w:pPr>
        <w:pStyle w:val="ListParagraph"/>
        <w:numPr>
          <w:ilvl w:val="0"/>
          <w:numId w:val="8"/>
        </w:numPr>
        <w:jc w:val="left"/>
        <w:rPr>
          <w:sz w:val="32"/>
          <w:szCs w:val="32"/>
          <w:lang w:val="en-US"/>
        </w:rPr>
      </w:pPr>
      <w:r>
        <w:rPr>
          <w:lang w:val="en-US"/>
        </w:rPr>
        <w:t>Country differences do not suggest differences between developed and developing countries as much as differences high-inflation and low-inflation economy PT. (Sellers in high-inflation economies might be more ready to increase prices than in countries with low inflation due to less nominal rigidities?)</w:t>
      </w:r>
    </w:p>
    <w:p w14:paraId="69D75E22" w14:textId="77777777" w:rsidR="00AF1717" w:rsidRDefault="00AF1717" w:rsidP="00AF1717">
      <w:pPr>
        <w:jc w:val="left"/>
        <w:rPr>
          <w:sz w:val="32"/>
          <w:szCs w:val="32"/>
          <w:lang w:val="en-US"/>
        </w:rPr>
      </w:pPr>
    </w:p>
    <w:p w14:paraId="22597093" w14:textId="3B9540A2" w:rsidR="00AF1717" w:rsidRDefault="00AF1717" w:rsidP="00AF1717">
      <w:pPr>
        <w:jc w:val="center"/>
        <w:rPr>
          <w:b/>
          <w:bCs/>
          <w:sz w:val="32"/>
          <w:szCs w:val="32"/>
          <w:lang w:val="en-US"/>
        </w:rPr>
      </w:pPr>
      <w:r>
        <w:rPr>
          <w:b/>
          <w:bCs/>
          <w:sz w:val="32"/>
          <w:szCs w:val="32"/>
          <w:lang w:val="en-US"/>
        </w:rPr>
        <w:t>Obstfeld &amp; Rogoff, 1995</w:t>
      </w:r>
    </w:p>
    <w:p w14:paraId="31F8C1CD" w14:textId="028D96DA" w:rsidR="00AF1717" w:rsidRDefault="00AF1717" w:rsidP="00AF1717">
      <w:pPr>
        <w:rPr>
          <w:lang w:val="en-US"/>
        </w:rPr>
      </w:pPr>
      <w:r>
        <w:rPr>
          <w:lang w:val="en-US"/>
        </w:rPr>
        <w:t xml:space="preserve">Offers a theory to explain exchange rate </w:t>
      </w:r>
      <w:proofErr w:type="spellStart"/>
      <w:r>
        <w:rPr>
          <w:lang w:val="en-US"/>
        </w:rPr>
        <w:t>behaviour</w:t>
      </w:r>
      <w:proofErr w:type="spellEnd"/>
      <w:r>
        <w:rPr>
          <w:lang w:val="en-US"/>
        </w:rPr>
        <w:t xml:space="preserve"> in the presence of price rigidities through developing a model of international transmission that embodies the main elements of the intertemporal approach along with short-run nominal price rigidities and explicit </w:t>
      </w:r>
      <w:proofErr w:type="spellStart"/>
      <w:r>
        <w:rPr>
          <w:lang w:val="en-US"/>
        </w:rPr>
        <w:t>microfoundations</w:t>
      </w:r>
      <w:proofErr w:type="spellEnd"/>
      <w:r>
        <w:rPr>
          <w:lang w:val="en-US"/>
        </w:rPr>
        <w:t xml:space="preserve"> of aggregate supply. </w:t>
      </w:r>
    </w:p>
    <w:p w14:paraId="2A75B90A" w14:textId="77777777" w:rsidR="00AF1717" w:rsidRDefault="00AF1717" w:rsidP="00AF1717">
      <w:pPr>
        <w:rPr>
          <w:lang w:val="en-US"/>
        </w:rPr>
      </w:pPr>
    </w:p>
    <w:p w14:paraId="53D0F8B8" w14:textId="3E63C0BF" w:rsidR="00AF1717" w:rsidRDefault="00AF1717" w:rsidP="00AF1717">
      <w:pPr>
        <w:pStyle w:val="ListParagraph"/>
        <w:numPr>
          <w:ilvl w:val="0"/>
          <w:numId w:val="9"/>
        </w:numPr>
        <w:rPr>
          <w:lang w:val="en-US"/>
        </w:rPr>
      </w:pPr>
      <w:r w:rsidRPr="00AF1717">
        <w:rPr>
          <w:lang w:val="en-US"/>
        </w:rPr>
        <w:t xml:space="preserve">Model predicts that money supply shocks can have real effects that last well beyond the time frame of any nominal rigidities, because of induced short-run wealth accumulation via the current account.  </w:t>
      </w:r>
    </w:p>
    <w:p w14:paraId="747B7E5A" w14:textId="175C4401" w:rsidR="00AF1717" w:rsidRDefault="00AF1717" w:rsidP="00AF1717">
      <w:pPr>
        <w:pStyle w:val="ListParagraph"/>
        <w:numPr>
          <w:ilvl w:val="0"/>
          <w:numId w:val="9"/>
        </w:numPr>
        <w:rPr>
          <w:lang w:val="en-US"/>
        </w:rPr>
      </w:pPr>
      <w:r>
        <w:rPr>
          <w:lang w:val="en-US"/>
        </w:rPr>
        <w:t>Unanticipated permanent rise in world government purchases temporarily lowers world real interest rates: when prices are sticky, the government spending shock raises short-run output above long-run output and world real interest rates fall as agents attempt to smooth consumption.</w:t>
      </w:r>
    </w:p>
    <w:p w14:paraId="08F83FAD" w14:textId="77777777" w:rsidR="00AF1717" w:rsidRDefault="00AF1717" w:rsidP="00AF1717">
      <w:pPr>
        <w:rPr>
          <w:lang w:val="en-US"/>
        </w:rPr>
      </w:pPr>
    </w:p>
    <w:p w14:paraId="45AF564F" w14:textId="319ACC5F" w:rsidR="00AF1717" w:rsidRDefault="00AF1717" w:rsidP="00AF1717">
      <w:pPr>
        <w:rPr>
          <w:lang w:val="en-US"/>
        </w:rPr>
      </w:pPr>
      <w:r>
        <w:rPr>
          <w:lang w:val="en-US"/>
        </w:rPr>
        <w:t xml:space="preserve">Model Structure: </w:t>
      </w:r>
    </w:p>
    <w:p w14:paraId="64C0C1E1" w14:textId="720BAF04" w:rsidR="00AF1717" w:rsidRDefault="00AF1717" w:rsidP="00AF1717">
      <w:pPr>
        <w:pStyle w:val="ListParagraph"/>
        <w:numPr>
          <w:ilvl w:val="0"/>
          <w:numId w:val="10"/>
        </w:numPr>
        <w:rPr>
          <w:lang w:val="en-US"/>
        </w:rPr>
      </w:pPr>
      <w:r>
        <w:rPr>
          <w:lang w:val="en-US"/>
        </w:rPr>
        <w:t xml:space="preserve">Continuum of individual producers z </w:t>
      </w:r>
      <w:r>
        <w:rPr>
          <w:lang w:val="en-US"/>
        </w:rPr>
        <w:sym w:font="Symbol" w:char="F0CE"/>
      </w:r>
      <w:r>
        <w:rPr>
          <w:lang w:val="en-US"/>
        </w:rPr>
        <w:t xml:space="preserve">[0, 1], each of whom produces a single differentiates perishable products. Home country consists of [0, n] producers, while foreign country has [n, 1] producers. </w:t>
      </w:r>
    </w:p>
    <w:p w14:paraId="2E770E70" w14:textId="1EC38FA7" w:rsidR="00AF1717" w:rsidRDefault="00AF1717" w:rsidP="00AF1717">
      <w:pPr>
        <w:pStyle w:val="ListParagraph"/>
        <w:numPr>
          <w:ilvl w:val="0"/>
          <w:numId w:val="10"/>
        </w:numPr>
        <w:rPr>
          <w:lang w:val="en-US"/>
        </w:rPr>
      </w:pPr>
      <w:r>
        <w:rPr>
          <w:lang w:val="en-US"/>
        </w:rPr>
        <w:t xml:space="preserve">Individuals have same preferences defined over a consumption index, real money balances and effort expended in production. c(z) = home individual’s consumption of product x, </w:t>
      </w:r>
    </w:p>
    <w:p w14:paraId="4B810A9A" w14:textId="72FFD1B6" w:rsidR="00AF1717" w:rsidRDefault="00AF1717" w:rsidP="00AF1717">
      <w:pPr>
        <w:pStyle w:val="ListParagraph"/>
        <w:rPr>
          <w:rFonts w:eastAsiaTheme="minorEastAsia"/>
          <w:lang w:val="en-US"/>
        </w:rPr>
      </w:pPr>
      <m:oMath>
        <m:r>
          <w:rPr>
            <w:rFonts w:ascii="Cambria Math" w:hAnsi="Cambria Math"/>
            <w:lang w:val="en-US"/>
          </w:rPr>
          <m:t>C=</m:t>
        </m:r>
        <m:sSup>
          <m:sSupPr>
            <m:ctrlPr>
              <w:rPr>
                <w:rFonts w:ascii="Cambria Math" w:hAnsi="Cambria Math"/>
                <w:i/>
                <w:lang w:val="en-US"/>
              </w:rPr>
            </m:ctrlPr>
          </m:sSupPr>
          <m:e>
            <m:d>
              <m:dPr>
                <m:begChr m:val="["/>
                <m:endChr m:val="]"/>
                <m:ctrlPr>
                  <w:rPr>
                    <w:rFonts w:ascii="Cambria Math" w:hAnsi="Cambria Math"/>
                    <w:i/>
                    <w:lang w:val="en-US"/>
                  </w:rPr>
                </m:ctrlPr>
              </m:dPr>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m:t>
                    </m:r>
                  </m:sup>
                  <m:e>
                    <m:sSup>
                      <m:sSupPr>
                        <m:ctrlPr>
                          <w:rPr>
                            <w:rFonts w:ascii="Cambria Math" w:hAnsi="Cambria Math"/>
                            <w:i/>
                            <w:lang w:val="en-US"/>
                          </w:rPr>
                        </m:ctrlPr>
                      </m:sSupPr>
                      <m:e>
                        <m:r>
                          <w:rPr>
                            <w:rFonts w:ascii="Cambria Math" w:hAnsi="Cambria Math"/>
                            <w:lang w:val="en-US"/>
                          </w:rPr>
                          <m:t>c(z)</m:t>
                        </m:r>
                      </m:e>
                      <m:sup>
                        <m:r>
                          <w:rPr>
                            <w:rFonts w:ascii="Cambria Math" w:hAnsi="Cambria Math"/>
                            <w:lang w:val="en-US"/>
                          </w:rPr>
                          <m:t>(θ-1)/θ</m:t>
                        </m:r>
                      </m:sup>
                    </m:sSup>
                    <m:r>
                      <w:rPr>
                        <w:rFonts w:ascii="Cambria Math" w:hAnsi="Cambria Math"/>
                        <w:lang w:val="en-US"/>
                      </w:rPr>
                      <m:t>dz</m:t>
                    </m:r>
                  </m:e>
                </m:nary>
              </m:e>
            </m:d>
          </m:e>
          <m:sup>
            <m:r>
              <w:rPr>
                <w:rFonts w:ascii="Cambria Math" w:hAnsi="Cambria Math"/>
                <w:lang w:val="en-US"/>
              </w:rPr>
              <m:t>θ/(θ-1)</m:t>
            </m:r>
          </m:sup>
        </m:sSup>
      </m:oMath>
      <w:r>
        <w:rPr>
          <w:rFonts w:eastAsiaTheme="minorEastAsia"/>
          <w:lang w:val="en-US"/>
        </w:rPr>
        <w:t xml:space="preserve">, </w:t>
      </w:r>
      <w:r>
        <w:rPr>
          <w:rFonts w:eastAsiaTheme="minorEastAsia"/>
          <w:lang w:val="en-US"/>
        </w:rPr>
        <w:sym w:font="Symbol" w:char="F071"/>
      </w:r>
      <w:r>
        <w:rPr>
          <w:rFonts w:eastAsiaTheme="minorEastAsia"/>
          <w:lang w:val="en-US"/>
        </w:rPr>
        <w:t xml:space="preserve"> &gt; 1 for home, C* for foreign. </w:t>
      </w:r>
    </w:p>
    <w:p w14:paraId="0683ADCA" w14:textId="77777777" w:rsidR="00AF1717" w:rsidRDefault="00AF1717" w:rsidP="00AF1717">
      <w:pPr>
        <w:rPr>
          <w:rFonts w:eastAsiaTheme="minorEastAsia"/>
          <w:vertAlign w:val="superscript"/>
          <w:lang w:val="en-US"/>
        </w:rPr>
      </w:pPr>
    </w:p>
    <w:p w14:paraId="164CC134" w14:textId="795FDF4D" w:rsidR="00AF1717" w:rsidRDefault="00AF1717" w:rsidP="00AF1717">
      <w:pPr>
        <w:pStyle w:val="ListParagraph"/>
        <w:numPr>
          <w:ilvl w:val="0"/>
          <w:numId w:val="10"/>
        </w:numPr>
        <w:rPr>
          <w:rFonts w:eastAsiaTheme="minorEastAsia"/>
          <w:lang w:val="en-US"/>
        </w:rPr>
      </w:pPr>
      <w:r>
        <w:rPr>
          <w:rFonts w:eastAsiaTheme="minorEastAsia"/>
          <w:lang w:val="en-US"/>
        </w:rPr>
        <w:t>Frictionless trade</w:t>
      </w:r>
    </w:p>
    <w:p w14:paraId="3421D4B8" w14:textId="77777777" w:rsidR="00AF1717" w:rsidRDefault="00AF1717" w:rsidP="00AF1717">
      <w:pPr>
        <w:pStyle w:val="ListParagraph"/>
        <w:numPr>
          <w:ilvl w:val="0"/>
          <w:numId w:val="10"/>
        </w:numPr>
        <w:rPr>
          <w:rFonts w:eastAsiaTheme="minorEastAsia"/>
          <w:lang w:val="en-US"/>
        </w:rPr>
      </w:pPr>
      <w:r>
        <w:rPr>
          <w:rFonts w:eastAsiaTheme="minorEastAsia"/>
          <w:lang w:val="en-US"/>
        </w:rPr>
        <w:t>Nominal exchange rate E: home currency price of foreign currency</w:t>
      </w:r>
    </w:p>
    <w:p w14:paraId="0C010D7F" w14:textId="3878C8E1" w:rsidR="00AF1717" w:rsidRDefault="00AF1717" w:rsidP="00AF1717">
      <w:pPr>
        <w:pStyle w:val="ListParagraph"/>
        <w:rPr>
          <w:rFonts w:eastAsiaTheme="minorEastAsia"/>
          <w:lang w:val="en-US"/>
        </w:rPr>
      </w:pPr>
      <w:r>
        <w:rPr>
          <w:rFonts w:eastAsiaTheme="minorEastAsia"/>
          <w:lang w:val="en-US"/>
        </w:rPr>
        <w:t xml:space="preserve"> p(z) = domestic currency price of good z and p*(z) the price of the same goof in foreign currency. Law of one price implies p(z) = Ep*(z) </w:t>
      </w:r>
    </w:p>
    <w:p w14:paraId="1D840649" w14:textId="77777777" w:rsidR="00AF1717" w:rsidRPr="00AF1717" w:rsidRDefault="00AF1717" w:rsidP="00AF1717">
      <w:pPr>
        <w:rPr>
          <w:rFonts w:eastAsiaTheme="minorEastAsia"/>
          <w:lang w:val="en-US"/>
        </w:rPr>
      </w:pPr>
    </w:p>
    <w:p w14:paraId="552863D2" w14:textId="7B993B1C" w:rsidR="00AF1717" w:rsidRDefault="00AF1717" w:rsidP="00AF1717">
      <w:pPr>
        <w:pStyle w:val="ListParagraph"/>
        <w:numPr>
          <w:ilvl w:val="0"/>
          <w:numId w:val="10"/>
        </w:numPr>
        <w:rPr>
          <w:rFonts w:eastAsiaTheme="minorEastAsia"/>
          <w:lang w:val="en-US"/>
        </w:rPr>
      </w:pPr>
      <m:oMath>
        <m:r>
          <w:rPr>
            <w:rFonts w:ascii="Cambria Math" w:hAnsi="Cambria Math"/>
            <w:lang w:val="en-US"/>
          </w:rPr>
          <m:t>P=</m:t>
        </m:r>
        <m:sSup>
          <m:sSupPr>
            <m:ctrlPr>
              <w:rPr>
                <w:rFonts w:ascii="Cambria Math" w:hAnsi="Cambria Math"/>
                <w:i/>
                <w:lang w:val="en-US"/>
              </w:rPr>
            </m:ctrlPr>
          </m:sSupPr>
          <m:e>
            <m:d>
              <m:dPr>
                <m:begChr m:val="["/>
                <m:endChr m:val="]"/>
                <m:ctrlPr>
                  <w:rPr>
                    <w:rFonts w:ascii="Cambria Math" w:hAnsi="Cambria Math"/>
                    <w:i/>
                    <w:lang w:val="en-US"/>
                  </w:rPr>
                </m:ctrlPr>
              </m:dPr>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m:t>
                    </m:r>
                  </m:sup>
                  <m:e>
                    <m:sSup>
                      <m:sSupPr>
                        <m:ctrlPr>
                          <w:rPr>
                            <w:rFonts w:ascii="Cambria Math" w:hAnsi="Cambria Math"/>
                            <w:i/>
                            <w:lang w:val="en-US"/>
                          </w:rPr>
                        </m:ctrlPr>
                      </m:sSupPr>
                      <m:e>
                        <m:r>
                          <w:rPr>
                            <w:rFonts w:ascii="Cambria Math" w:hAnsi="Cambria Math"/>
                            <w:lang w:val="en-US"/>
                          </w:rPr>
                          <m:t>p</m:t>
                        </m:r>
                        <m:d>
                          <m:dPr>
                            <m:ctrlPr>
                              <w:rPr>
                                <w:rFonts w:ascii="Cambria Math" w:hAnsi="Cambria Math"/>
                                <w:i/>
                                <w:lang w:val="en-US"/>
                              </w:rPr>
                            </m:ctrlPr>
                          </m:dPr>
                          <m:e>
                            <m:r>
                              <w:rPr>
                                <w:rFonts w:ascii="Cambria Math" w:hAnsi="Cambria Math"/>
                                <w:lang w:val="en-US"/>
                              </w:rPr>
                              <m:t>z</m:t>
                            </m:r>
                          </m:e>
                        </m:d>
                      </m:e>
                      <m:sup>
                        <m:d>
                          <m:dPr>
                            <m:ctrlPr>
                              <w:rPr>
                                <w:rFonts w:ascii="Cambria Math" w:hAnsi="Cambria Math"/>
                                <w:i/>
                                <w:lang w:val="en-US"/>
                              </w:rPr>
                            </m:ctrlPr>
                          </m:dPr>
                          <m:e>
                            <m:r>
                              <w:rPr>
                                <w:rFonts w:ascii="Cambria Math" w:hAnsi="Cambria Math"/>
                                <w:lang w:val="en-US"/>
                              </w:rPr>
                              <m:t>1-θ</m:t>
                            </m:r>
                          </m:e>
                        </m:d>
                      </m:sup>
                    </m:sSup>
                    <m:r>
                      <w:rPr>
                        <w:rFonts w:ascii="Cambria Math" w:hAnsi="Cambria Math"/>
                        <w:lang w:val="en-US"/>
                      </w:rPr>
                      <m:t>dz</m:t>
                    </m:r>
                  </m:e>
                </m:nary>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r>
                  <w:rPr>
                    <w:rFonts w:ascii="Cambria Math" w:hAnsi="Cambria Math"/>
                    <w:i/>
                    <w:lang w:val="en-US"/>
                  </w:rPr>
                  <w:sym w:font="Symbol" w:char="F071"/>
                </m:r>
              </m:den>
            </m:f>
          </m:sup>
        </m:sSup>
        <m:r>
          <w:rPr>
            <w:rFonts w:ascii="Cambria Math" w:hAnsi="Cambria Math"/>
            <w:lang w:val="en-US"/>
          </w:rPr>
          <m:t xml:space="preserve">  =  </m:t>
        </m:r>
        <m:d>
          <m:dPr>
            <m:begChr m:val="{"/>
            <m:endChr m:val="}"/>
            <m:ctrlPr>
              <w:rPr>
                <w:rFonts w:ascii="Cambria Math" w:hAnsi="Cambria Math"/>
                <w:i/>
                <w:lang w:val="en-US"/>
              </w:rPr>
            </m:ctrlPr>
          </m:dPr>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p</m:t>
                    </m:r>
                    <m:d>
                      <m:dPr>
                        <m:ctrlPr>
                          <w:rPr>
                            <w:rFonts w:ascii="Cambria Math" w:hAnsi="Cambria Math"/>
                            <w:i/>
                            <w:lang w:val="en-US"/>
                          </w:rPr>
                        </m:ctrlPr>
                      </m:dPr>
                      <m:e>
                        <m:r>
                          <w:rPr>
                            <w:rFonts w:ascii="Cambria Math" w:hAnsi="Cambria Math"/>
                            <w:lang w:val="en-US"/>
                          </w:rPr>
                          <m:t>z</m:t>
                        </m:r>
                      </m:e>
                    </m:d>
                  </m:e>
                  <m:sup>
                    <m:d>
                      <m:dPr>
                        <m:ctrlPr>
                          <w:rPr>
                            <w:rFonts w:ascii="Cambria Math" w:hAnsi="Cambria Math"/>
                            <w:i/>
                            <w:lang w:val="en-US"/>
                          </w:rPr>
                        </m:ctrlPr>
                      </m:dPr>
                      <m:e>
                        <m:r>
                          <w:rPr>
                            <w:rFonts w:ascii="Cambria Math" w:hAnsi="Cambria Math"/>
                            <w:lang w:val="en-US"/>
                          </w:rPr>
                          <m:t>1-θ</m:t>
                        </m:r>
                      </m:e>
                    </m:d>
                  </m:sup>
                </m:sSup>
                <m:r>
                  <w:rPr>
                    <w:rFonts w:ascii="Cambria Math" w:hAnsi="Cambria Math"/>
                    <w:lang w:val="en-US"/>
                  </w:rPr>
                  <m:t>dz</m:t>
                </m:r>
              </m:e>
            </m:nary>
            <m:r>
              <w:rPr>
                <w:rFonts w:ascii="Cambria Math" w:hAnsi="Cambria Math"/>
                <w:lang w:val="en-US"/>
              </w:rPr>
              <m:t xml:space="preserve"> + </m:t>
            </m:r>
            <m:nary>
              <m:naryPr>
                <m:limLoc m:val="subSup"/>
                <m:ctrlPr>
                  <w:rPr>
                    <w:rFonts w:ascii="Cambria Math" w:hAnsi="Cambria Math"/>
                    <w:i/>
                    <w:lang w:val="en-US"/>
                  </w:rPr>
                </m:ctrlPr>
              </m:naryPr>
              <m:sub>
                <m:r>
                  <w:rPr>
                    <w:rFonts w:ascii="Cambria Math" w:hAnsi="Cambria Math"/>
                    <w:lang w:val="en-US"/>
                  </w:rPr>
                  <m:t>n</m:t>
                </m:r>
              </m:sub>
              <m:sup>
                <m:r>
                  <w:rPr>
                    <w:rFonts w:ascii="Cambria Math" w:hAnsi="Cambria Math"/>
                    <w:lang w:val="en-US"/>
                  </w:rPr>
                  <m:t>1</m:t>
                </m:r>
              </m:sup>
              <m:e>
                <m:sSup>
                  <m:sSupPr>
                    <m:ctrlPr>
                      <w:rPr>
                        <w:rFonts w:ascii="Cambria Math" w:hAnsi="Cambria Math"/>
                        <w:i/>
                        <w:lang w:val="en-US"/>
                      </w:rPr>
                    </m:ctrlPr>
                  </m:sSupPr>
                  <m:e>
                    <m:r>
                      <w:rPr>
                        <w:rFonts w:ascii="Cambria Math" w:hAnsi="Cambria Math"/>
                        <w:lang w:val="en-US"/>
                      </w:rPr>
                      <m:t>[E*p</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e>
                  <m:sup>
                    <m:d>
                      <m:dPr>
                        <m:ctrlPr>
                          <w:rPr>
                            <w:rFonts w:ascii="Cambria Math" w:hAnsi="Cambria Math"/>
                            <w:i/>
                            <w:lang w:val="en-US"/>
                          </w:rPr>
                        </m:ctrlPr>
                      </m:dPr>
                      <m:e>
                        <m:r>
                          <w:rPr>
                            <w:rFonts w:ascii="Cambria Math" w:hAnsi="Cambria Math"/>
                            <w:lang w:val="en-US"/>
                          </w:rPr>
                          <m:t>1-θ</m:t>
                        </m:r>
                      </m:e>
                    </m:d>
                  </m:sup>
                </m:sSup>
                <m:r>
                  <w:rPr>
                    <w:rFonts w:ascii="Cambria Math" w:hAnsi="Cambria Math"/>
                    <w:lang w:val="en-US"/>
                  </w:rPr>
                  <m:t>dz</m:t>
                </m:r>
              </m:e>
            </m:nary>
            <m:r>
              <w:rPr>
                <w:rFonts w:ascii="Cambria Math" w:hAnsi="Cambria Math"/>
                <w:lang w:val="en-US"/>
              </w:rPr>
              <m:t xml:space="preserve"> </m:t>
            </m:r>
          </m:e>
        </m:d>
      </m:oMath>
      <w:r>
        <w:rPr>
          <w:rFonts w:eastAsiaTheme="minorEastAsia"/>
          <w:lang w:val="en-US"/>
        </w:rPr>
        <w:t>,</w:t>
      </w:r>
    </w:p>
    <w:p w14:paraId="2C0F8F5E" w14:textId="77B829F8" w:rsidR="00AF1717" w:rsidRDefault="00AF1717" w:rsidP="00AF1717">
      <w:pPr>
        <w:pStyle w:val="ListParagraph"/>
        <w:numPr>
          <w:ilvl w:val="0"/>
          <w:numId w:val="10"/>
        </w:numPr>
        <w:rPr>
          <w:rFonts w:eastAsiaTheme="minorEastAsia"/>
          <w:lang w:val="en-US"/>
        </w:rPr>
      </w:pPr>
      <m:oMath>
        <m:r>
          <w:rPr>
            <w:rFonts w:ascii="Cambria Math" w:hAnsi="Cambria Math"/>
            <w:lang w:val="en-US"/>
          </w:rPr>
          <m:t>P = EP*</m:t>
        </m:r>
      </m:oMath>
      <w:r>
        <w:rPr>
          <w:rFonts w:eastAsiaTheme="minorEastAsia"/>
          <w:lang w:val="en-US"/>
        </w:rPr>
        <w:t xml:space="preserve"> since residents have identical preferences. </w:t>
      </w:r>
    </w:p>
    <w:p w14:paraId="7B146C3C" w14:textId="77777777" w:rsidR="00AF1717" w:rsidRDefault="00AF1717" w:rsidP="000D44E0">
      <w:pPr>
        <w:rPr>
          <w:rFonts w:eastAsiaTheme="minorEastAsia"/>
          <w:lang w:val="en-US"/>
        </w:rPr>
      </w:pPr>
    </w:p>
    <w:p w14:paraId="4EC9D690" w14:textId="40601D5D" w:rsidR="000D44E0" w:rsidRDefault="000D44E0" w:rsidP="000D44E0">
      <w:pPr>
        <w:pStyle w:val="ListParagraph"/>
        <w:numPr>
          <w:ilvl w:val="0"/>
          <w:numId w:val="10"/>
        </w:numPr>
        <w:rPr>
          <w:rFonts w:eastAsiaTheme="minorEastAsia"/>
          <w:lang w:val="en-US"/>
        </w:rPr>
      </w:pPr>
      <w:r>
        <w:rPr>
          <w:rFonts w:eastAsiaTheme="minorEastAsia"/>
          <w:lang w:val="en-US"/>
        </w:rPr>
        <w:t xml:space="preserve">Budget Constraint: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 xml:space="preserve">t </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t-1</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 xml:space="preserve">(z) -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t</m:t>
            </m:r>
          </m:sub>
        </m:sSub>
      </m:oMath>
    </w:p>
    <w:p w14:paraId="1316C478" w14:textId="01FD11F0" w:rsidR="000D44E0" w:rsidRDefault="000D44E0" w:rsidP="000D44E0">
      <w:pPr>
        <w:rPr>
          <w:rFonts w:eastAsiaTheme="minorEastAsia"/>
          <w:lang w:val="en-US"/>
        </w:rPr>
      </w:pPr>
      <w:r>
        <w:rPr>
          <w:rFonts w:eastAsiaTheme="minorEastAsia"/>
          <w:lang w:val="en-US"/>
        </w:rPr>
        <w:t xml:space="preserve">Where y(z) is </w:t>
      </w:r>
      <w:proofErr w:type="spellStart"/>
      <w:r>
        <w:rPr>
          <w:rFonts w:eastAsiaTheme="minorEastAsia"/>
          <w:lang w:val="en-US"/>
        </w:rPr>
        <w:t>indivudal</w:t>
      </w:r>
      <w:proofErr w:type="spellEnd"/>
      <w:r>
        <w:rPr>
          <w:rFonts w:eastAsiaTheme="minorEastAsia"/>
          <w:lang w:val="en-US"/>
        </w:rPr>
        <w:t xml:space="preserve"> output, T is real taxes paid to domestic govt. </w:t>
      </w:r>
    </w:p>
    <w:p w14:paraId="4901C9EC" w14:textId="77777777" w:rsidR="000D44E0" w:rsidRDefault="000D44E0" w:rsidP="000D44E0">
      <w:pPr>
        <w:rPr>
          <w:rFonts w:eastAsiaTheme="minorEastAsia"/>
          <w:lang w:val="en-US"/>
        </w:rPr>
      </w:pPr>
    </w:p>
    <w:p w14:paraId="416B44BE" w14:textId="176A42AE" w:rsidR="000D44E0" w:rsidRPr="000D44E0" w:rsidRDefault="000D44E0" w:rsidP="000D44E0">
      <w:pPr>
        <w:pStyle w:val="ListParagraph"/>
        <w:numPr>
          <w:ilvl w:val="0"/>
          <w:numId w:val="11"/>
        </w:numPr>
        <w:rPr>
          <w:rFonts w:eastAsiaTheme="minorEastAsia"/>
          <w:lang w:val="en-US"/>
        </w:rPr>
      </w:pPr>
      <w:r>
        <w:rPr>
          <w:rFonts w:eastAsiaTheme="minorEastAsia"/>
          <w:lang w:val="en-US"/>
        </w:rPr>
        <w:t xml:space="preserve">Home country NIR: </w:t>
      </w:r>
      <m:oMath>
        <m:r>
          <w:rPr>
            <w:rFonts w:ascii="Cambria Math" w:eastAsiaTheme="minorEastAsia" w:hAnsi="Cambria Math"/>
            <w:lang w:val="en-US"/>
          </w:rPr>
          <m:t xml:space="preserve">1 + </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en>
        </m:f>
        <m:r>
          <w:rPr>
            <w:rFonts w:ascii="Cambria Math" w:eastAsiaTheme="minorEastAsia" w:hAnsi="Cambria Math"/>
            <w:lang w:val="en-US"/>
          </w:rPr>
          <m:t xml:space="preserve">(1 + </m:t>
        </m:r>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t</m:t>
            </m:r>
          </m:sub>
          <m:sup>
            <m:r>
              <w:rPr>
                <w:rFonts w:ascii="Cambria Math" w:eastAsiaTheme="minorEastAsia" w:hAnsi="Cambria Math"/>
                <w:lang w:val="en-US"/>
              </w:rPr>
              <m:t>*</m:t>
            </m:r>
          </m:sup>
        </m:sSubSup>
        <m:r>
          <w:rPr>
            <w:rFonts w:ascii="Cambria Math" w:eastAsiaTheme="minorEastAsia" w:hAnsi="Cambria Math"/>
            <w:lang w:val="en-US"/>
          </w:rPr>
          <m:t>)</m:t>
        </m:r>
      </m:oMath>
      <w:r>
        <w:rPr>
          <w:rFonts w:eastAsiaTheme="minorEastAsia"/>
          <w:lang w:val="en-US"/>
        </w:rPr>
        <w:t xml:space="preserve"> =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 xml:space="preserve">(1 + </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oMath>
      <w:r>
        <w:rPr>
          <w:rFonts w:eastAsiaTheme="minorEastAsia"/>
          <w:lang w:val="en-US"/>
        </w:rPr>
        <w:t xml:space="preserve"> (uncovered interest parity)</w:t>
      </w:r>
    </w:p>
    <w:p w14:paraId="7C8746FF" w14:textId="7A0C597E" w:rsidR="00AF1717" w:rsidRDefault="00AF1717">
      <w:pPr>
        <w:spacing w:line="240" w:lineRule="auto"/>
        <w:jc w:val="left"/>
        <w:rPr>
          <w:rFonts w:eastAsiaTheme="minorEastAsia"/>
          <w:lang w:val="en-US"/>
        </w:rPr>
      </w:pPr>
    </w:p>
    <w:p w14:paraId="6F091C7E" w14:textId="0C68168F" w:rsidR="00AF1717" w:rsidRDefault="000D44E0" w:rsidP="00AF1717">
      <w:pPr>
        <w:pStyle w:val="ListParagraph"/>
        <w:numPr>
          <w:ilvl w:val="0"/>
          <w:numId w:val="10"/>
        </w:numPr>
        <w:rPr>
          <w:rFonts w:eastAsiaTheme="minorEastAsia"/>
          <w:lang w:val="en-US"/>
        </w:rPr>
      </w:pPr>
      <w:r>
        <w:rPr>
          <w:rFonts w:eastAsiaTheme="minorEastAsia"/>
          <w:lang w:val="en-US"/>
        </w:rPr>
        <w:t xml:space="preserve">Symmetric steady state – all exogenous variables are constant. This implies consumption is constant, therefore steady-state world real </w:t>
      </w:r>
      <w:proofErr w:type="spellStart"/>
      <w:r>
        <w:rPr>
          <w:rFonts w:eastAsiaTheme="minorEastAsia"/>
          <w:lang w:val="en-US"/>
        </w:rPr>
        <w:t>interst</w:t>
      </w:r>
      <w:proofErr w:type="spellEnd"/>
      <w:r>
        <w:rPr>
          <w:rFonts w:eastAsiaTheme="minorEastAsia"/>
          <w:lang w:val="en-US"/>
        </w:rPr>
        <w:t xml:space="preserve"> rate </w:t>
      </w:r>
      <m:oMath>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 xml:space="preserve"> </m:t>
        </m:r>
      </m:oMath>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1 - β</m:t>
            </m:r>
          </m:num>
          <m:den>
            <m:r>
              <w:rPr>
                <w:rFonts w:ascii="Cambria Math" w:eastAsiaTheme="minorEastAsia" w:hAnsi="Cambria Math"/>
                <w:lang w:val="en-US"/>
              </w:rPr>
              <m:t>β</m:t>
            </m:r>
          </m:den>
        </m:f>
      </m:oMath>
      <w:r>
        <w:rPr>
          <w:rFonts w:eastAsiaTheme="minorEastAsia"/>
          <w:lang w:val="en-US"/>
        </w:rPr>
        <w:t xml:space="preserve"> </w:t>
      </w:r>
    </w:p>
    <w:p w14:paraId="099F5068" w14:textId="3D107009" w:rsidR="000D44E0" w:rsidRDefault="000D44E0" w:rsidP="00AF1717">
      <w:pPr>
        <w:pStyle w:val="ListParagraph"/>
        <w:numPr>
          <w:ilvl w:val="0"/>
          <w:numId w:val="10"/>
        </w:numPr>
        <w:rPr>
          <w:rFonts w:eastAsiaTheme="minorEastAsia"/>
          <w:lang w:val="en-US"/>
        </w:rPr>
      </w:pPr>
      <w:r>
        <w:rPr>
          <w:rFonts w:eastAsiaTheme="minorEastAsia"/>
          <w:lang w:val="en-US"/>
        </w:rPr>
        <w:t xml:space="preserve">All producers are symmetric, implying they set the same price and output in equilibrium. </w:t>
      </w:r>
    </w:p>
    <w:p w14:paraId="310A07D6" w14:textId="2DFA49BA" w:rsidR="000D44E0" w:rsidRDefault="000D44E0" w:rsidP="00AF1717">
      <w:pPr>
        <w:pStyle w:val="ListParagraph"/>
        <w:numPr>
          <w:ilvl w:val="0"/>
          <w:numId w:val="10"/>
        </w:numPr>
        <w:rPr>
          <w:rFonts w:eastAsiaTheme="minorEastAsia"/>
          <w:lang w:val="en-US"/>
        </w:rPr>
      </w:pPr>
      <w:r>
        <w:rPr>
          <w:rFonts w:eastAsiaTheme="minorEastAsia"/>
          <w:lang w:val="en-US"/>
        </w:rPr>
        <w:t>p(h) = home currency price of home good, p*(f) is foreign price of foreign good.</w:t>
      </w:r>
    </w:p>
    <w:p w14:paraId="5F59817B" w14:textId="77777777" w:rsidR="006226EF" w:rsidRDefault="000D44E0" w:rsidP="006226EF">
      <w:pPr>
        <w:pStyle w:val="ListParagraph"/>
        <w:numPr>
          <w:ilvl w:val="0"/>
          <w:numId w:val="10"/>
        </w:numPr>
        <w:rPr>
          <w:rFonts w:eastAsiaTheme="minorEastAsia"/>
          <w:lang w:val="en-US"/>
        </w:rPr>
      </w:pPr>
      <w:r>
        <w:rPr>
          <w:rFonts w:eastAsiaTheme="minorEastAsia"/>
          <w:lang w:val="en-US"/>
        </w:rPr>
        <w:t>If composite consumption is constant in both countries, each country’s intertemporal budget constraint requires real consumption spending to be equal to net real interest payment from abroad plus real domestic output less real govt spending</w:t>
      </w:r>
      <w:r w:rsidR="006226EF">
        <w:rPr>
          <w:rFonts w:eastAsiaTheme="minorEastAsia"/>
          <w:lang w:val="en-US"/>
        </w:rPr>
        <w:t>.</w:t>
      </w:r>
    </w:p>
    <w:p w14:paraId="1E57517C" w14:textId="77777777" w:rsidR="006226EF" w:rsidRDefault="006226EF" w:rsidP="006226EF">
      <w:pPr>
        <w:ind w:left="360"/>
        <w:rPr>
          <w:rFonts w:eastAsiaTheme="minorEastAsia"/>
          <w:lang w:val="en-US"/>
        </w:rPr>
      </w:pPr>
    </w:p>
    <w:p w14:paraId="2705C47C" w14:textId="77777777" w:rsidR="006226EF" w:rsidRDefault="006226EF" w:rsidP="006226EF">
      <w:pPr>
        <w:jc w:val="left"/>
        <w:rPr>
          <w:lang w:val="en-US"/>
        </w:rPr>
      </w:pPr>
      <w:r w:rsidRPr="006226EF">
        <w:rPr>
          <w:rFonts w:eastAsiaTheme="minorEastAsia"/>
          <w:b/>
          <w:bCs/>
          <w:sz w:val="28"/>
          <w:szCs w:val="28"/>
          <w:lang w:val="en-US"/>
        </w:rPr>
        <w:t xml:space="preserve">Two-country model with sticky prices </w:t>
      </w:r>
    </w:p>
    <w:p w14:paraId="36D3E920" w14:textId="77777777" w:rsidR="006226EF" w:rsidRDefault="006226EF" w:rsidP="006226EF">
      <w:pPr>
        <w:pStyle w:val="ListParagraph"/>
        <w:numPr>
          <w:ilvl w:val="0"/>
          <w:numId w:val="14"/>
        </w:numPr>
        <w:jc w:val="left"/>
        <w:rPr>
          <w:lang w:val="en-US"/>
        </w:rPr>
      </w:pPr>
      <w:r>
        <w:rPr>
          <w:lang w:val="en-US"/>
        </w:rPr>
        <w:t>Producer prices set at start of each period.</w:t>
      </w:r>
    </w:p>
    <w:p w14:paraId="19B64C0D" w14:textId="77777777" w:rsidR="006226EF" w:rsidRDefault="006226EF" w:rsidP="006226EF">
      <w:pPr>
        <w:pStyle w:val="ListParagraph"/>
        <w:numPr>
          <w:ilvl w:val="0"/>
          <w:numId w:val="14"/>
        </w:numPr>
        <w:jc w:val="left"/>
        <w:rPr>
          <w:lang w:val="en-US"/>
        </w:rPr>
      </w:pPr>
      <w:r>
        <w:rPr>
          <w:lang w:val="en-US"/>
        </w:rPr>
        <w:t>With preset nominal prices, output becomes demand determined for small enough shocks.</w:t>
      </w:r>
    </w:p>
    <w:p w14:paraId="3AF5F624" w14:textId="77777777" w:rsidR="006226EF" w:rsidRDefault="006226EF" w:rsidP="006226EF">
      <w:pPr>
        <w:pStyle w:val="ListParagraph"/>
        <w:numPr>
          <w:ilvl w:val="0"/>
          <w:numId w:val="14"/>
        </w:numPr>
        <w:jc w:val="left"/>
        <w:rPr>
          <w:lang w:val="en-US"/>
        </w:rPr>
      </w:pPr>
      <w:r>
        <w:rPr>
          <w:lang w:val="en-US"/>
        </w:rPr>
        <w:t xml:space="preserve">Because a monopolist always prices above MC, it is profitable to meet unexpected demand at preset price. </w:t>
      </w:r>
      <w:proofErr w:type="gramStart"/>
      <w:r>
        <w:rPr>
          <w:lang w:val="en-US"/>
        </w:rPr>
        <w:t>Thus</w:t>
      </w:r>
      <w:proofErr w:type="gramEnd"/>
      <w:r>
        <w:rPr>
          <w:lang w:val="en-US"/>
        </w:rPr>
        <w:t xml:space="preserve"> in SR, MR=MC won’t necessarily hold and output is determined by: </w:t>
      </w:r>
    </w:p>
    <w:p w14:paraId="2A613BCE" w14:textId="1817552E" w:rsidR="00AF1717" w:rsidRPr="006226EF" w:rsidRDefault="00000000" w:rsidP="006226EF">
      <w:pPr>
        <w:pStyle w:val="ListParagraph"/>
        <w:jc w:val="left"/>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 xml:space="preserve">t </m:t>
              </m:r>
            </m:sub>
          </m:sSub>
          <m:r>
            <w:rPr>
              <w:rFonts w:ascii="Cambria Math" w:hAnsi="Cambria Math"/>
              <w:lang w:val="en-US"/>
            </w:rPr>
            <m:t>= θ[</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P</m:t>
                  </m:r>
                </m:e>
              </m:acc>
              <m:r>
                <w:rPr>
                  <w:rFonts w:ascii="Cambria Math" w:hAnsi="Cambria Math"/>
                  <w:lang w:val="en-US"/>
                </w:rPr>
                <m:t xml:space="preserve"> </m:t>
              </m:r>
            </m:e>
            <m:sub>
              <m:r>
                <w:rPr>
                  <w:rFonts w:ascii="Cambria Math" w:hAnsi="Cambria Math"/>
                  <w:lang w:val="en-US"/>
                </w:rPr>
                <m:t xml:space="preserve">t </m:t>
              </m:r>
            </m:sub>
          </m:sSub>
          <m:r>
            <w:rPr>
              <w:rFonts w:ascii="Cambria Math" w:hAnsi="Cambria Math"/>
              <w:lang w:val="en-US"/>
            </w:rPr>
            <m:t xml:space="preserve">-  </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p</m:t>
                  </m:r>
                </m:e>
              </m:acc>
            </m:e>
            <m:sub>
              <m:r>
                <w:rPr>
                  <w:rFonts w:ascii="Cambria Math" w:hAnsi="Cambria Math"/>
                  <w:lang w:val="en-US"/>
                </w:rPr>
                <m:t>t</m:t>
              </m:r>
            </m:sub>
          </m:sSub>
          <m:r>
            <w:rPr>
              <w:rFonts w:ascii="Cambria Math" w:hAnsi="Cambria Math"/>
              <w:lang w:val="en-US"/>
            </w:rPr>
            <m:t xml:space="preserve">(h)] + </m:t>
          </m:r>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C</m:t>
                  </m:r>
                </m:e>
              </m:acc>
            </m:e>
            <m:sub>
              <m:r>
                <w:rPr>
                  <w:rFonts w:ascii="Cambria Math" w:hAnsi="Cambria Math"/>
                  <w:lang w:val="en-US"/>
                </w:rPr>
                <m:t>t</m:t>
              </m:r>
            </m:sub>
            <m:sup>
              <m:r>
                <w:rPr>
                  <w:rFonts w:ascii="Cambria Math" w:hAnsi="Cambria Math"/>
                  <w:lang w:val="en-US"/>
                </w:rPr>
                <m:t>W</m:t>
              </m:r>
            </m:sup>
          </m:sSubSup>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d</m:t>
              </m:r>
              <m:sSubSup>
                <m:sSubSupPr>
                  <m:ctrlPr>
                    <w:rPr>
                      <w:rFonts w:ascii="Cambria Math" w:hAnsi="Cambria Math"/>
                      <w:i/>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lang w:val="en-US"/>
                    </w:rPr>
                    <m:t>W</m:t>
                  </m:r>
                </m:sup>
              </m:sSubSup>
            </m:num>
            <m:den>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0</m:t>
                  </m:r>
                </m:sub>
                <m:sup>
                  <m:r>
                    <w:rPr>
                      <w:rFonts w:ascii="Cambria Math" w:hAnsi="Cambria Math"/>
                      <w:lang w:val="en-US"/>
                    </w:rPr>
                    <m:t>W</m:t>
                  </m:r>
                </m:sup>
              </m:sSubSup>
            </m:den>
          </m:f>
        </m:oMath>
      </m:oMathPara>
    </w:p>
    <w:p w14:paraId="35EE83FC" w14:textId="75D7F3E0" w:rsidR="00AF1717" w:rsidRDefault="006226EF" w:rsidP="00AF1717">
      <w:pPr>
        <w:pStyle w:val="ListParagraph"/>
        <w:numPr>
          <w:ilvl w:val="0"/>
          <w:numId w:val="10"/>
        </w:numPr>
        <w:rPr>
          <w:lang w:val="en-US"/>
        </w:rPr>
      </w:pPr>
      <w:r>
        <w:rPr>
          <w:lang w:val="en-US"/>
        </w:rPr>
        <w:t xml:space="preserve">Although prices are set in </w:t>
      </w:r>
      <w:proofErr w:type="spellStart"/>
      <w:r>
        <w:rPr>
          <w:lang w:val="en-US"/>
        </w:rPr>
        <w:t>prodicers</w:t>
      </w:r>
      <w:proofErr w:type="spellEnd"/>
      <w:r>
        <w:rPr>
          <w:lang w:val="en-US"/>
        </w:rPr>
        <w:t xml:space="preserve">’ own currencies, foreign currency price of a producer’s output must change if the exchange rate moves. With rigid prices: </w:t>
      </w:r>
    </w:p>
    <w:p w14:paraId="272F3003" w14:textId="5C660EA0" w:rsidR="006226EF" w:rsidRDefault="00000000" w:rsidP="006226EF">
      <w:pPr>
        <w:pStyle w:val="ListParagraph"/>
        <w:jc w:val="center"/>
        <w:rPr>
          <w:rFonts w:eastAsiaTheme="minorEastAsia"/>
          <w:lang w:val="en-US"/>
        </w:rPr>
      </w:pPr>
      <m:oMath>
        <m:acc>
          <m:accPr>
            <m:ctrlPr>
              <w:rPr>
                <w:rFonts w:ascii="Cambria Math" w:hAnsi="Cambria Math"/>
                <w:i/>
                <w:lang w:val="en-US"/>
              </w:rPr>
            </m:ctrlPr>
          </m:accPr>
          <m:e>
            <m:r>
              <w:rPr>
                <w:rFonts w:ascii="Cambria Math" w:hAnsi="Cambria Math"/>
                <w:lang w:val="en-US"/>
              </w:rPr>
              <m:t xml:space="preserve">P </m:t>
            </m:r>
          </m:e>
        </m:acc>
        <m:r>
          <w:rPr>
            <w:rFonts w:ascii="Cambria Math" w:hAnsi="Cambria Math"/>
            <w:lang w:val="en-US"/>
          </w:rPr>
          <m:t>= (1 - n)</m:t>
        </m:r>
        <m:acc>
          <m:accPr>
            <m:ctrlPr>
              <w:rPr>
                <w:rFonts w:ascii="Cambria Math" w:hAnsi="Cambria Math"/>
                <w:i/>
                <w:lang w:val="en-US"/>
              </w:rPr>
            </m:ctrlPr>
          </m:accPr>
          <m:e>
            <m:r>
              <w:rPr>
                <w:rFonts w:ascii="Cambria Math" w:hAnsi="Cambria Math"/>
                <w:lang w:val="en-US"/>
              </w:rPr>
              <m:t>E</m:t>
            </m:r>
          </m:e>
        </m:acc>
      </m:oMath>
      <w:r w:rsidR="006226EF">
        <w:rPr>
          <w:rFonts w:eastAsiaTheme="minorEastAsia"/>
          <w:lang w:val="en-US"/>
        </w:rPr>
        <w:t xml:space="preserve"> and </w:t>
      </w:r>
      <m:oMath>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P</m:t>
                </m:r>
              </m:e>
            </m:acc>
          </m:e>
          <m:sup>
            <m:r>
              <w:rPr>
                <w:rFonts w:ascii="Cambria Math" w:eastAsiaTheme="minorEastAsia" w:hAnsi="Cambria Math"/>
                <w:lang w:val="en-US"/>
              </w:rPr>
              <m:t>*</m:t>
            </m:r>
          </m:sup>
        </m:sSup>
        <m:r>
          <w:rPr>
            <w:rFonts w:ascii="Cambria Math" w:eastAsiaTheme="minorEastAsia" w:hAnsi="Cambria Math"/>
            <w:lang w:val="en-US"/>
          </w:rPr>
          <m:t xml:space="preserve"> = -n</m:t>
        </m:r>
        <m:acc>
          <m:accPr>
            <m:ctrlPr>
              <w:rPr>
                <w:rFonts w:ascii="Cambria Math" w:eastAsiaTheme="minorEastAsia" w:hAnsi="Cambria Math"/>
                <w:i/>
                <w:lang w:val="en-US"/>
              </w:rPr>
            </m:ctrlPr>
          </m:accPr>
          <m:e>
            <m:r>
              <w:rPr>
                <w:rFonts w:ascii="Cambria Math" w:eastAsiaTheme="minorEastAsia" w:hAnsi="Cambria Math"/>
                <w:lang w:val="en-US"/>
              </w:rPr>
              <m:t>E</m:t>
            </m:r>
          </m:e>
        </m:acc>
      </m:oMath>
    </w:p>
    <w:p w14:paraId="18135F40" w14:textId="267F1984" w:rsidR="006226EF" w:rsidRDefault="006226EF" w:rsidP="006226EF">
      <w:pPr>
        <w:pStyle w:val="ListParagraph"/>
        <w:rPr>
          <w:lang w:val="en-US"/>
        </w:rPr>
      </w:pPr>
      <w:r w:rsidRPr="006226EF">
        <w:rPr>
          <w:lang w:val="en-US"/>
        </w:rPr>
        <w:sym w:font="Wingdings" w:char="F0E0"/>
      </w:r>
      <w:r>
        <w:rPr>
          <w:lang w:val="en-US"/>
        </w:rPr>
        <w:t xml:space="preserve"> no subscripts or overbars denote SR shocks. </w:t>
      </w:r>
    </w:p>
    <w:p w14:paraId="5127683D" w14:textId="53E319E6" w:rsidR="006226EF" w:rsidRPr="006226EF" w:rsidRDefault="006226EF" w:rsidP="006226EF">
      <w:pPr>
        <w:pStyle w:val="ListParagraph"/>
        <w:jc w:val="left"/>
        <w:rPr>
          <w:lang w:val="en-US"/>
        </w:rPr>
      </w:pPr>
      <w:proofErr w:type="gramStart"/>
      <w:r>
        <w:rPr>
          <w:lang w:val="en-US"/>
        </w:rPr>
        <w:t>Thus</w:t>
      </w:r>
      <w:proofErr w:type="gramEnd"/>
      <w:r>
        <w:rPr>
          <w:lang w:val="en-US"/>
        </w:rPr>
        <w:t xml:space="preserve"> we can express SR AD shocks as: </w:t>
      </w:r>
      <w:r w:rsidRPr="006226EF">
        <w:rPr>
          <w:rFonts w:ascii="Cambria Math" w:hAnsi="Cambria Math"/>
          <w:i/>
          <w:lang w:val="en-US"/>
        </w:rPr>
        <w:br/>
      </w: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 xml:space="preserve"> </m:t>
              </m:r>
            </m:sub>
          </m:sSub>
          <m:r>
            <w:rPr>
              <w:rFonts w:ascii="Cambria Math" w:hAnsi="Cambria Math"/>
              <w:lang w:val="en-US"/>
            </w:rPr>
            <m:t>= θ(1 - n)</m:t>
          </m:r>
          <m:acc>
            <m:accPr>
              <m:ctrlPr>
                <w:rPr>
                  <w:rFonts w:ascii="Cambria Math" w:hAnsi="Cambria Math"/>
                  <w:i/>
                  <w:lang w:val="en-US"/>
                </w:rPr>
              </m:ctrlPr>
            </m:accPr>
            <m:e>
              <m:r>
                <w:rPr>
                  <w:rFonts w:ascii="Cambria Math" w:hAnsi="Cambria Math"/>
                  <w:lang w:val="en-US"/>
                </w:rPr>
                <m:t>E</m:t>
              </m:r>
            </m:e>
          </m:acc>
          <m:r>
            <w:rPr>
              <w:rFonts w:ascii="Cambria Math" w:hAnsi="Cambria Math"/>
              <w:lang w:val="en-US"/>
            </w:rPr>
            <m:t xml:space="preserve"> + </m:t>
          </m:r>
          <m:sSup>
            <m:sSupPr>
              <m:ctrlPr>
                <w:rPr>
                  <w:rFonts w:ascii="Cambria Math" w:hAnsi="Cambria Math"/>
                  <w:i/>
                  <w:lang w:val="en-US"/>
                </w:rPr>
              </m:ctrlPr>
            </m:sSupPr>
            <m:e>
              <m:acc>
                <m:accPr>
                  <m:ctrlPr>
                    <w:rPr>
                      <w:rFonts w:ascii="Cambria Math" w:hAnsi="Cambria Math"/>
                      <w:i/>
                      <w:lang w:val="en-US"/>
                    </w:rPr>
                  </m:ctrlPr>
                </m:accPr>
                <m:e>
                  <m:r>
                    <w:rPr>
                      <w:rFonts w:ascii="Cambria Math" w:hAnsi="Cambria Math"/>
                      <w:lang w:val="en-US"/>
                    </w:rPr>
                    <m:t>C</m:t>
                  </m:r>
                </m:e>
              </m:acc>
            </m:e>
            <m:sup>
              <m:r>
                <w:rPr>
                  <w:rFonts w:ascii="Cambria Math" w:hAnsi="Cambria Math"/>
                  <w:lang w:val="en-US"/>
                </w:rPr>
                <m:t>W</m:t>
              </m:r>
            </m:sup>
          </m:sSup>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d</m:t>
              </m:r>
              <m:sSup>
                <m:sSupPr>
                  <m:ctrlPr>
                    <w:rPr>
                      <w:rFonts w:ascii="Cambria Math" w:hAnsi="Cambria Math"/>
                      <w:i/>
                      <w:lang w:val="en-US"/>
                    </w:rPr>
                  </m:ctrlPr>
                </m:sSupPr>
                <m:e>
                  <m:r>
                    <w:rPr>
                      <w:rFonts w:ascii="Cambria Math" w:hAnsi="Cambria Math"/>
                      <w:lang w:val="en-US"/>
                    </w:rPr>
                    <m:t>G</m:t>
                  </m:r>
                </m:e>
                <m:sup>
                  <m:r>
                    <w:rPr>
                      <w:rFonts w:ascii="Cambria Math" w:hAnsi="Cambria Math"/>
                      <w:lang w:val="en-US"/>
                    </w:rPr>
                    <m:t>W</m:t>
                  </m:r>
                </m:sup>
              </m:sSup>
            </m:num>
            <m:den>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0</m:t>
                  </m:r>
                </m:sub>
                <m:sup>
                  <m:r>
                    <w:rPr>
                      <w:rFonts w:ascii="Cambria Math" w:hAnsi="Cambria Math"/>
                      <w:lang w:val="en-US"/>
                    </w:rPr>
                    <m:t>W</m:t>
                  </m:r>
                </m:sup>
              </m:sSubSup>
            </m:den>
          </m:f>
        </m:oMath>
      </m:oMathPara>
    </w:p>
    <w:p w14:paraId="0214B37A" w14:textId="6FD6D8BB" w:rsidR="006226EF" w:rsidRDefault="006226EF" w:rsidP="006226EF">
      <w:pPr>
        <w:pStyle w:val="ListParagraph"/>
        <w:rPr>
          <w:lang w:val="en-US"/>
        </w:rPr>
      </w:pPr>
    </w:p>
    <w:p w14:paraId="72609482" w14:textId="32148865" w:rsidR="006226EF" w:rsidRDefault="006226EF" w:rsidP="006226EF">
      <w:pPr>
        <w:pStyle w:val="ListParagraph"/>
        <w:rPr>
          <w:lang w:val="en-US"/>
        </w:rPr>
      </w:pPr>
      <w:r>
        <w:rPr>
          <w:lang w:val="en-US"/>
        </w:rPr>
        <w:t xml:space="preserve">Where differentials refer to short-run changes. </w:t>
      </w:r>
    </w:p>
    <w:p w14:paraId="0F2BFC38" w14:textId="619FA6BE" w:rsidR="006226EF" w:rsidRDefault="006226EF" w:rsidP="006226EF">
      <w:pPr>
        <w:pStyle w:val="ListParagraph"/>
        <w:numPr>
          <w:ilvl w:val="0"/>
          <w:numId w:val="10"/>
        </w:numPr>
        <w:rPr>
          <w:lang w:val="en-US"/>
        </w:rPr>
      </w:pPr>
      <w:r>
        <w:rPr>
          <w:lang w:val="en-US"/>
        </w:rPr>
        <w:t xml:space="preserve">Current accounts don’t need to be balanced in SR, only in the long run. </w:t>
      </w:r>
    </w:p>
    <w:p w14:paraId="7D1843DA" w14:textId="50271BEA" w:rsidR="006226EF" w:rsidRPr="006226EF" w:rsidRDefault="006226EF" w:rsidP="006226EF">
      <w:pPr>
        <w:pStyle w:val="ListParagraph"/>
        <w:numPr>
          <w:ilvl w:val="0"/>
          <w:numId w:val="10"/>
        </w:numPr>
        <w:rPr>
          <w:lang w:val="en-US"/>
        </w:rPr>
      </w:pPr>
      <w:r>
        <w:rPr>
          <w:lang w:val="en-US"/>
        </w:rPr>
        <w:t xml:space="preserve">From </w:t>
      </w:r>
      <m:oMath>
        <m:acc>
          <m:accPr>
            <m:ctrlPr>
              <w:rPr>
                <w:rFonts w:ascii="Cambria Math" w:hAnsi="Cambria Math"/>
                <w:i/>
                <w:lang w:val="en-US"/>
              </w:rPr>
            </m:ctrlPr>
          </m:accPr>
          <m:e>
            <m:r>
              <w:rPr>
                <w:rFonts w:ascii="Cambria Math" w:hAnsi="Cambria Math"/>
                <w:lang w:val="en-US"/>
              </w:rPr>
              <m:t>C</m:t>
            </m:r>
          </m:e>
        </m:acc>
        <m:r>
          <w:rPr>
            <w:rFonts w:ascii="Cambria Math" w:hAnsi="Cambria Math"/>
            <w:lang w:val="en-US"/>
          </w:rPr>
          <m:t xml:space="preserve"> - </m:t>
        </m:r>
        <m:sSup>
          <m:sSupPr>
            <m:ctrlPr>
              <w:rPr>
                <w:rFonts w:ascii="Cambria Math" w:hAnsi="Cambria Math"/>
                <w:i/>
                <w:lang w:val="en-US"/>
              </w:rPr>
            </m:ctrlPr>
          </m:sSupPr>
          <m:e>
            <m:acc>
              <m:accPr>
                <m:ctrlPr>
                  <w:rPr>
                    <w:rFonts w:ascii="Cambria Math" w:hAnsi="Cambria Math"/>
                    <w:i/>
                    <w:lang w:val="en-US"/>
                  </w:rPr>
                </m:ctrlPr>
              </m:accPr>
              <m:e>
                <m:r>
                  <w:rPr>
                    <w:rFonts w:ascii="Cambria Math" w:hAnsi="Cambria Math"/>
                    <w:lang w:val="en-US"/>
                  </w:rPr>
                  <m:t>C</m:t>
                </m:r>
              </m:e>
            </m:acc>
          </m:e>
          <m:sup>
            <m:r>
              <w:rPr>
                <w:rFonts w:ascii="Cambria Math" w:hAnsi="Cambria Math"/>
                <w:lang w:val="en-US"/>
              </w:rPr>
              <m:t>*</m:t>
            </m:r>
          </m:sup>
        </m:sSup>
        <m:r>
          <w:rPr>
            <w:rFonts w:ascii="Cambria Math" w:hAnsi="Cambria Math"/>
            <w:lang w:val="en-US"/>
          </w:rPr>
          <m:t xml:space="preserve"> = </m:t>
        </m:r>
        <m:acc>
          <m:accPr>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C</m:t>
                </m:r>
              </m:e>
            </m:acc>
          </m:e>
        </m:acc>
        <m:r>
          <w:rPr>
            <w:rFonts w:ascii="Cambria Math" w:hAnsi="Cambria Math"/>
            <w:lang w:val="en-US"/>
          </w:rPr>
          <m:t xml:space="preserve"> - </m:t>
        </m:r>
        <m:sSup>
          <m:sSupPr>
            <m:ctrlPr>
              <w:rPr>
                <w:rFonts w:ascii="Cambria Math" w:hAnsi="Cambria Math"/>
                <w:i/>
                <w:lang w:val="en-US"/>
              </w:rPr>
            </m:ctrlPr>
          </m:sSupPr>
          <m:e>
            <m:acc>
              <m:accPr>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C</m:t>
                    </m:r>
                  </m:e>
                </m:acc>
              </m:e>
            </m:acc>
          </m:e>
          <m:sup>
            <m:r>
              <w:rPr>
                <w:rFonts w:ascii="Cambria Math" w:hAnsi="Cambria Math"/>
                <w:lang w:val="en-US"/>
              </w:rPr>
              <m:t>*</m:t>
            </m:r>
          </m:sup>
        </m:sSup>
      </m:oMath>
      <w:r>
        <w:rPr>
          <w:rFonts w:eastAsiaTheme="minorEastAsia"/>
          <w:lang w:val="en-US"/>
        </w:rPr>
        <w:t xml:space="preserve">, all shocks have permanent effects on the difference between home and foreign per capita consumption. Individuals need not have flat consumption profiles if the real interest rate differs from its steady-state value. </w:t>
      </w:r>
      <w:proofErr w:type="gramStart"/>
      <w:r>
        <w:rPr>
          <w:rFonts w:eastAsiaTheme="minorEastAsia"/>
          <w:lang w:val="en-US"/>
        </w:rPr>
        <w:t>However</w:t>
      </w:r>
      <w:proofErr w:type="gramEnd"/>
      <w:r>
        <w:rPr>
          <w:rFonts w:eastAsiaTheme="minorEastAsia"/>
          <w:lang w:val="en-US"/>
        </w:rPr>
        <w:t xml:space="preserve"> since interest rates have the same effect on h and f consumption growth, relative consumption still follows a random walk. </w:t>
      </w:r>
    </w:p>
    <w:p w14:paraId="0BF73FDE" w14:textId="5C254669" w:rsidR="006226EF" w:rsidRPr="006226EF" w:rsidRDefault="006226EF" w:rsidP="006226EF">
      <w:pPr>
        <w:pStyle w:val="ListParagraph"/>
        <w:numPr>
          <w:ilvl w:val="0"/>
          <w:numId w:val="10"/>
        </w:numPr>
        <w:rPr>
          <w:lang w:val="en-US"/>
        </w:rPr>
      </w:pPr>
      <w:r>
        <w:rPr>
          <w:rFonts w:eastAsiaTheme="minorEastAsia"/>
          <w:lang w:val="en-US"/>
        </w:rPr>
        <w:t xml:space="preserve">Consumption rather than output enters money demand. In an open economy that can smooth its consumption through foreign borrowing and lending means that transitory output shocks will have a permanent exchange rate effect. When there is </w:t>
      </w:r>
      <w:r w:rsidRPr="006226EF">
        <w:rPr>
          <w:rFonts w:eastAsiaTheme="minorEastAsia"/>
          <w:b/>
          <w:bCs/>
          <w:lang w:val="en-US"/>
        </w:rPr>
        <w:t>a transitory productivity shock</w:t>
      </w:r>
      <w:r>
        <w:rPr>
          <w:rFonts w:eastAsiaTheme="minorEastAsia"/>
          <w:lang w:val="en-US"/>
        </w:rPr>
        <w:t xml:space="preserve">, consumers save </w:t>
      </w:r>
      <w:proofErr w:type="gramStart"/>
      <w:r>
        <w:rPr>
          <w:rFonts w:eastAsiaTheme="minorEastAsia"/>
          <w:lang w:val="en-US"/>
        </w:rPr>
        <w:t>in order to</w:t>
      </w:r>
      <w:proofErr w:type="gramEnd"/>
      <w:r>
        <w:rPr>
          <w:rFonts w:eastAsiaTheme="minorEastAsia"/>
          <w:lang w:val="en-US"/>
        </w:rPr>
        <w:t xml:space="preserve"> smooth consumption and consume a fraction of the period 1 shock in subsequent periods, leading to a permanent consumption change, which shifts the exchange rate permanently. When there is a </w:t>
      </w:r>
      <w:r w:rsidRPr="006226EF">
        <w:rPr>
          <w:rFonts w:eastAsiaTheme="minorEastAsia"/>
          <w:b/>
          <w:bCs/>
          <w:lang w:val="en-US"/>
        </w:rPr>
        <w:t>permanent productivity</w:t>
      </w:r>
      <w:r>
        <w:rPr>
          <w:rFonts w:eastAsiaTheme="minorEastAsia"/>
          <w:lang w:val="en-US"/>
        </w:rPr>
        <w:t xml:space="preserve"> shock, people work less and take more leisure, creating a negative correlation between terms of trade and consumption (consumption rises by more than production/exports). </w:t>
      </w:r>
    </w:p>
    <w:p w14:paraId="2CB56B24" w14:textId="02A8475B" w:rsidR="006226EF" w:rsidRPr="006226EF" w:rsidRDefault="006226EF" w:rsidP="006226EF">
      <w:pPr>
        <w:pStyle w:val="ListParagraph"/>
        <w:numPr>
          <w:ilvl w:val="0"/>
          <w:numId w:val="10"/>
        </w:numPr>
        <w:rPr>
          <w:lang w:val="en-US"/>
        </w:rPr>
      </w:pPr>
      <w:r>
        <w:rPr>
          <w:rFonts w:eastAsiaTheme="minorEastAsia"/>
          <w:lang w:val="en-US"/>
        </w:rPr>
        <w:t xml:space="preserve">Because the changes in money and consumption differentials are expected to be permanent by </w:t>
      </w:r>
      <m:oMath>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 xml:space="preserve"> = (</m:t>
        </m:r>
        <m:acc>
          <m:accPr>
            <m:ctrlPr>
              <w:rPr>
                <w:rFonts w:ascii="Cambria Math" w:eastAsiaTheme="minorEastAsia" w:hAnsi="Cambria Math"/>
                <w:i/>
                <w:lang w:val="en-US"/>
              </w:rPr>
            </m:ctrlPr>
          </m:accPr>
          <m:e>
            <m:r>
              <w:rPr>
                <w:rFonts w:ascii="Cambria Math" w:eastAsiaTheme="minorEastAsia" w:hAnsi="Cambria Math"/>
                <w:lang w:val="en-US"/>
              </w:rPr>
              <m:t>M</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M</m:t>
                </m:r>
              </m:e>
            </m:acc>
          </m:e>
          <m:sup>
            <m:r>
              <w:rPr>
                <w:rFonts w:ascii="Cambria Math" w:eastAsiaTheme="minorEastAsia" w:hAnsi="Cambria Math"/>
                <w:lang w:val="en-US"/>
              </w:rPr>
              <m:t>*</m:t>
            </m:r>
          </m:sup>
        </m:sSup>
        <m:r>
          <w:rPr>
            <w:rFonts w:ascii="Cambria Math" w:eastAsiaTheme="minorEastAsia" w:hAnsi="Cambria Math"/>
            <w:lang w:val="en-US"/>
          </w:rPr>
          <m:t xml:space="preserve">) -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ϵ</m:t>
            </m:r>
          </m:den>
        </m:f>
        <m:r>
          <w:rPr>
            <w:rFonts w:ascii="Cambria Math" w:eastAsiaTheme="minorEastAsia" w:hAnsi="Cambria Math"/>
            <w:lang w:val="en-US"/>
          </w:rPr>
          <m:t xml:space="preserve"> (</m:t>
        </m:r>
        <m:acc>
          <m:accPr>
            <m:ctrlPr>
              <w:rPr>
                <w:rFonts w:ascii="Cambria Math" w:eastAsiaTheme="minorEastAsia" w:hAnsi="Cambria Math"/>
                <w:i/>
                <w:lang w:val="en-US"/>
              </w:rPr>
            </m:ctrlPr>
          </m:accPr>
          <m:e>
            <m:r>
              <w:rPr>
                <w:rFonts w:ascii="Cambria Math" w:eastAsiaTheme="minorEastAsia" w:hAnsi="Cambria Math"/>
                <w:lang w:val="en-US"/>
              </w:rPr>
              <m:t>C</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C</m:t>
                </m:r>
              </m:e>
            </m:acc>
          </m:e>
          <m:sup>
            <m:r>
              <w:rPr>
                <w:rFonts w:ascii="Cambria Math" w:eastAsiaTheme="minorEastAsia" w:hAnsi="Cambria Math"/>
                <w:lang w:val="en-US"/>
              </w:rPr>
              <m:t>*</m:t>
            </m:r>
          </m:sup>
        </m:sSup>
        <m:r>
          <w:rPr>
            <w:rFonts w:ascii="Cambria Math" w:eastAsiaTheme="minorEastAsia" w:hAnsi="Cambria Math"/>
            <w:lang w:val="en-US"/>
          </w:rPr>
          <m:t xml:space="preserve">) </m:t>
        </m:r>
      </m:oMath>
      <w:r>
        <w:rPr>
          <w:rFonts w:eastAsiaTheme="minorEastAsia"/>
          <w:lang w:val="en-US"/>
        </w:rPr>
        <w:t xml:space="preserve">, we also have </w:t>
      </w:r>
      <m:oMath>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 xml:space="preserve"> = </m:t>
        </m:r>
        <m:acc>
          <m:accPr>
            <m:ctrlPr>
              <w:rPr>
                <w:rFonts w:ascii="Cambria Math" w:eastAsiaTheme="minorEastAsia" w:hAnsi="Cambria Math"/>
                <w:i/>
                <w:lang w:val="en-US"/>
              </w:rPr>
            </m:ctrlPr>
          </m:accPr>
          <m:e>
            <m:acc>
              <m:accPr>
                <m:chr m:val="̅"/>
                <m:ctrlPr>
                  <w:rPr>
                    <w:rFonts w:ascii="Cambria Math" w:eastAsiaTheme="minorEastAsia" w:hAnsi="Cambria Math"/>
                    <w:i/>
                    <w:lang w:val="en-US"/>
                  </w:rPr>
                </m:ctrlPr>
              </m:accPr>
              <m:e>
                <m:r>
                  <w:rPr>
                    <w:rFonts w:ascii="Cambria Math" w:eastAsiaTheme="minorEastAsia" w:hAnsi="Cambria Math"/>
                    <w:lang w:val="en-US"/>
                  </w:rPr>
                  <m:t>E</m:t>
                </m:r>
              </m:e>
            </m:acc>
          </m:e>
        </m:acc>
      </m:oMath>
      <w:r>
        <w:rPr>
          <w:rFonts w:eastAsiaTheme="minorEastAsia"/>
          <w:lang w:val="en-US"/>
        </w:rPr>
        <w:t xml:space="preserve"> (exchange rate shocks persist). </w:t>
      </w:r>
    </w:p>
    <w:p w14:paraId="256F1410" w14:textId="37936EC8" w:rsidR="006226EF" w:rsidRPr="006226EF" w:rsidRDefault="006226EF" w:rsidP="006226EF">
      <w:pPr>
        <w:pStyle w:val="ListParagraph"/>
        <w:numPr>
          <w:ilvl w:val="0"/>
          <w:numId w:val="10"/>
        </w:numPr>
        <w:rPr>
          <w:lang w:val="en-US"/>
        </w:rPr>
      </w:pPr>
      <w:r>
        <w:rPr>
          <w:rFonts w:eastAsiaTheme="minorEastAsia"/>
          <w:lang w:val="en-US"/>
        </w:rPr>
        <w:t xml:space="preserve">Exchange rate jumps immediately to the flexible-price path corresponding to the new permanent international consumption differential. It doesn’t behave like a flexible price model, as the flexible price model has no consumption effect (since under flexible prices, increases in income would not have any effect on consumption as prices would adjust. </w:t>
      </w:r>
    </w:p>
    <w:p w14:paraId="5ED7C414" w14:textId="32D01490" w:rsidR="006226EF" w:rsidRPr="006226EF" w:rsidRDefault="006226EF" w:rsidP="006226EF">
      <w:pPr>
        <w:pStyle w:val="ListParagraph"/>
        <w:numPr>
          <w:ilvl w:val="0"/>
          <w:numId w:val="10"/>
        </w:numPr>
        <w:rPr>
          <w:lang w:val="en-US"/>
        </w:rPr>
      </w:pPr>
      <w:r>
        <w:rPr>
          <w:rFonts w:eastAsiaTheme="minorEastAsia"/>
          <w:lang w:val="en-US"/>
        </w:rPr>
        <w:t>In the graph, when domestic C increases, the exchange rate appreciates (E decreases) which maintains the balance between M and M*. Without E changing, the demand for M would exceed the supply, thus E will decrease (it will be less easy for foreigners to purchase M).</w:t>
      </w:r>
    </w:p>
    <w:p w14:paraId="3DF9C16E" w14:textId="77777777" w:rsidR="006226EF" w:rsidRPr="006226EF" w:rsidRDefault="006226EF" w:rsidP="006226EF">
      <w:pPr>
        <w:pStyle w:val="ListParagraph"/>
        <w:numPr>
          <w:ilvl w:val="0"/>
          <w:numId w:val="10"/>
        </w:numPr>
        <w:rPr>
          <w:lang w:val="en-US"/>
        </w:rPr>
      </w:pPr>
      <w:r>
        <w:rPr>
          <w:rFonts w:eastAsiaTheme="minorEastAsia"/>
          <w:lang w:val="en-US"/>
        </w:rPr>
        <w:t>Domestic output rises relative to foreign output as domestic currency depreciates and makes domestic products cheaper in the short run:</w:t>
      </w:r>
    </w:p>
    <w:p w14:paraId="1EE5B8BD" w14:textId="77777777" w:rsidR="006226EF" w:rsidRDefault="006226EF" w:rsidP="006226EF">
      <w:pPr>
        <w:pStyle w:val="ListParagraph"/>
        <w:rPr>
          <w:rFonts w:eastAsiaTheme="minorEastAsia"/>
          <w:lang w:val="en-US"/>
        </w:rPr>
      </w:pPr>
      <w:r>
        <w:rPr>
          <w:rFonts w:eastAsiaTheme="minorEastAs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y</m:t>
                </m:r>
              </m:e>
            </m:acc>
          </m:e>
          <m:sup>
            <m:r>
              <w:rPr>
                <w:rFonts w:ascii="Cambria Math" w:eastAsiaTheme="minorEastAsia" w:hAnsi="Cambria Math"/>
                <w:lang w:val="en-US"/>
              </w:rPr>
              <m:t>*</m:t>
            </m:r>
          </m:sup>
        </m:sSup>
        <m:r>
          <w:rPr>
            <w:rFonts w:ascii="Cambria Math" w:eastAsiaTheme="minorEastAsia" w:hAnsi="Cambria Math"/>
            <w:lang w:val="en-US"/>
          </w:rPr>
          <m:t xml:space="preserve"> = θ</m:t>
        </m:r>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 xml:space="preserve"> </m:t>
        </m:r>
      </m:oMath>
      <w:r>
        <w:rPr>
          <w:rFonts w:eastAsiaTheme="minorEastAsia"/>
          <w:lang w:val="en-US"/>
        </w:rPr>
        <w:t xml:space="preserve"> ; </w:t>
      </w:r>
      <w:r>
        <w:rPr>
          <w:rFonts w:eastAsiaTheme="minorEastAsia"/>
          <w:lang w:val="en-US"/>
        </w:rPr>
        <w:tab/>
      </w:r>
      <w:r>
        <w:rPr>
          <w:rFonts w:eastAsiaTheme="minorEastAsia"/>
          <w:lang w:val="en-US"/>
        </w:rPr>
        <w:tab/>
      </w:r>
      <m:oMath>
        <m:acc>
          <m:accPr>
            <m:ctrlPr>
              <w:rPr>
                <w:rFonts w:ascii="Cambria Math" w:eastAsiaTheme="minorEastAsia" w:hAnsi="Cambria Math"/>
                <w:i/>
                <w:lang w:val="en-US"/>
              </w:rPr>
            </m:ctrlPr>
          </m:accPr>
          <m:e>
            <m:acc>
              <m:accPr>
                <m:chr m:val="̅"/>
                <m:ctrlPr>
                  <w:rPr>
                    <w:rFonts w:ascii="Cambria Math" w:eastAsiaTheme="minorEastAsia" w:hAnsi="Cambria Math"/>
                    <w:i/>
                    <w:lang w:val="en-US"/>
                  </w:rPr>
                </m:ctrlPr>
              </m:accPr>
              <m:e>
                <m:r>
                  <w:rPr>
                    <w:rFonts w:ascii="Cambria Math" w:eastAsiaTheme="minorEastAsia" w:hAnsi="Cambria Math"/>
                    <w:lang w:val="en-US"/>
                  </w:rPr>
                  <m:t>C</m:t>
                </m:r>
              </m:e>
            </m:acc>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acc>
                  <m:accPr>
                    <m:chr m:val="̅"/>
                    <m:ctrlPr>
                      <w:rPr>
                        <w:rFonts w:ascii="Cambria Math" w:eastAsiaTheme="minorEastAsia" w:hAnsi="Cambria Math"/>
                        <w:i/>
                        <w:lang w:val="en-US"/>
                      </w:rPr>
                    </m:ctrlPr>
                  </m:accPr>
                  <m:e>
                    <m:r>
                      <w:rPr>
                        <w:rFonts w:ascii="Cambria Math" w:eastAsiaTheme="minorEastAsia" w:hAnsi="Cambria Math"/>
                        <w:lang w:val="en-US"/>
                      </w:rPr>
                      <m:t>C</m:t>
                    </m:r>
                  </m:e>
                </m:acc>
              </m:e>
            </m:acc>
          </m:e>
          <m:sup>
            <m:r>
              <w:rPr>
                <w:rFonts w:ascii="Cambria Math" w:eastAsiaTheme="minorEastAsia" w:hAnsi="Cambria Math"/>
                <w:lang w:val="en-US"/>
              </w:rPr>
              <m:t>*</m:t>
            </m:r>
          </m:sup>
        </m:sSup>
        <m:r>
          <w:rPr>
            <w:rFonts w:ascii="Cambria Math" w:eastAsiaTheme="minorEastAsia" w:hAnsi="Cambria Math"/>
            <w:lang w:val="en-US"/>
          </w:rPr>
          <m:t xml:space="preserve"> = </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(1-θ)</m:t>
            </m:r>
          </m:num>
          <m:den>
            <m:r>
              <w:rPr>
                <w:rFonts w:ascii="Cambria Math" w:eastAsiaTheme="minorEastAsia" w:hAnsi="Cambria Math"/>
                <w:lang w:val="en-US"/>
              </w:rPr>
              <m:t>2θ</m:t>
            </m:r>
          </m:den>
        </m:f>
        <m:r>
          <w:rPr>
            <w:rFonts w:ascii="Cambria Math" w:eastAsiaTheme="minorEastAsia" w:hAnsi="Cambria Math"/>
            <w:lang w:val="en-US"/>
          </w:rPr>
          <m:t xml:space="preserve"> [(</m:t>
        </m:r>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y</m:t>
                </m:r>
              </m:e>
            </m:acc>
          </m:e>
          <m:sup>
            <m:r>
              <w:rPr>
                <w:rFonts w:ascii="Cambria Math" w:eastAsiaTheme="minorEastAsia" w:hAnsi="Cambria Math"/>
                <w:lang w:val="en-US"/>
              </w:rPr>
              <m:t>*</m:t>
            </m:r>
          </m:sup>
        </m:sSup>
        <m:r>
          <w:rPr>
            <w:rFonts w:ascii="Cambria Math" w:eastAsiaTheme="minorEastAsia" w:hAnsi="Cambria Math"/>
            <w:lang w:val="en-US"/>
          </w:rPr>
          <m:t>) - (</m:t>
        </m:r>
        <m:acc>
          <m:accPr>
            <m:ctrlPr>
              <w:rPr>
                <w:rFonts w:ascii="Cambria Math" w:eastAsiaTheme="minorEastAsia" w:hAnsi="Cambria Math"/>
                <w:i/>
                <w:lang w:val="en-US"/>
              </w:rPr>
            </m:ctrlPr>
          </m:accPr>
          <m:e>
            <m:r>
              <w:rPr>
                <w:rFonts w:ascii="Cambria Math" w:eastAsiaTheme="minorEastAsia" w:hAnsi="Cambria Math"/>
                <w:lang w:val="en-US"/>
              </w:rPr>
              <m:t>C</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C</m:t>
                </m:r>
              </m:e>
            </m:acc>
          </m:e>
          <m:sup>
            <m:r>
              <w:rPr>
                <w:rFonts w:ascii="Cambria Math" w:eastAsiaTheme="minorEastAsia" w:hAnsi="Cambria Math"/>
                <w:lang w:val="en-US"/>
              </w:rPr>
              <m:t>*</m:t>
            </m:r>
          </m:sup>
        </m:sSup>
        <m:r>
          <w:rPr>
            <w:rFonts w:ascii="Cambria Math" w:eastAsiaTheme="minorEastAsia" w:hAnsi="Cambria Math"/>
            <w:lang w:val="en-US"/>
          </w:rPr>
          <m:t xml:space="preserve">) - </m:t>
        </m:r>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 xml:space="preserve">] </m:t>
        </m:r>
      </m:oMath>
      <w:r>
        <w:rPr>
          <w:rFonts w:eastAsiaTheme="minorEastAsia"/>
          <w:lang w:val="en-US"/>
        </w:rPr>
        <w:t xml:space="preserve">;  </w:t>
      </w:r>
    </w:p>
    <w:p w14:paraId="7F15A17D" w14:textId="57F3D0D6" w:rsidR="006226EF" w:rsidRDefault="006226EF" w:rsidP="006226EF">
      <w:pPr>
        <w:pStyle w:val="ListParagraph"/>
        <w:rPr>
          <w:rFonts w:eastAsiaTheme="minorEastAsia"/>
          <w:lang w:val="en-US"/>
        </w:rPr>
      </w:pPr>
      <w:r>
        <w:rPr>
          <w:rFonts w:eastAsiaTheme="minorEastAsia"/>
          <w:lang w:val="en-US"/>
        </w:rPr>
        <w:lastRenderedPageBreak/>
        <w:t xml:space="preserve">since </w:t>
      </w:r>
      <m:oMath>
        <m:acc>
          <m:accPr>
            <m:ctrlPr>
              <w:rPr>
                <w:rFonts w:ascii="Cambria Math" w:hAnsi="Cambria Math"/>
                <w:i/>
                <w:lang w:val="en-US"/>
              </w:rPr>
            </m:ctrlPr>
          </m:accPr>
          <m:e>
            <m:r>
              <w:rPr>
                <w:rFonts w:ascii="Cambria Math" w:hAnsi="Cambria Math"/>
                <w:lang w:val="en-US"/>
              </w:rPr>
              <m:t>C</m:t>
            </m:r>
          </m:e>
        </m:acc>
        <m:r>
          <w:rPr>
            <w:rFonts w:ascii="Cambria Math" w:hAnsi="Cambria Math"/>
            <w:lang w:val="en-US"/>
          </w:rPr>
          <m:t xml:space="preserve"> - </m:t>
        </m:r>
        <m:sSup>
          <m:sSupPr>
            <m:ctrlPr>
              <w:rPr>
                <w:rFonts w:ascii="Cambria Math" w:hAnsi="Cambria Math"/>
                <w:i/>
                <w:lang w:val="en-US"/>
              </w:rPr>
            </m:ctrlPr>
          </m:sSupPr>
          <m:e>
            <m:acc>
              <m:accPr>
                <m:ctrlPr>
                  <w:rPr>
                    <w:rFonts w:ascii="Cambria Math" w:hAnsi="Cambria Math"/>
                    <w:i/>
                    <w:lang w:val="en-US"/>
                  </w:rPr>
                </m:ctrlPr>
              </m:accPr>
              <m:e>
                <m:r>
                  <w:rPr>
                    <w:rFonts w:ascii="Cambria Math" w:hAnsi="Cambria Math"/>
                    <w:lang w:val="en-US"/>
                  </w:rPr>
                  <m:t>C</m:t>
                </m:r>
              </m:e>
            </m:acc>
          </m:e>
          <m:sup>
            <m:r>
              <w:rPr>
                <w:rFonts w:ascii="Cambria Math" w:hAnsi="Cambria Math"/>
                <w:lang w:val="en-US"/>
              </w:rPr>
              <m:t>*</m:t>
            </m:r>
          </m:sup>
        </m:sSup>
        <m:r>
          <w:rPr>
            <w:rFonts w:ascii="Cambria Math" w:hAnsi="Cambria Math"/>
            <w:lang w:val="en-US"/>
          </w:rPr>
          <m:t xml:space="preserve"> = </m:t>
        </m:r>
        <m:acc>
          <m:accPr>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C</m:t>
                </m:r>
              </m:e>
            </m:acc>
          </m:e>
        </m:acc>
        <m:r>
          <w:rPr>
            <w:rFonts w:ascii="Cambria Math" w:hAnsi="Cambria Math"/>
            <w:lang w:val="en-US"/>
          </w:rPr>
          <m:t xml:space="preserve"> - </m:t>
        </m:r>
        <m:sSup>
          <m:sSupPr>
            <m:ctrlPr>
              <w:rPr>
                <w:rFonts w:ascii="Cambria Math" w:hAnsi="Cambria Math"/>
                <w:i/>
                <w:lang w:val="en-US"/>
              </w:rPr>
            </m:ctrlPr>
          </m:sSupPr>
          <m:e>
            <m:acc>
              <m:accPr>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C</m:t>
                    </m:r>
                  </m:e>
                </m:acc>
              </m:e>
            </m:acc>
          </m:e>
          <m:sup>
            <m:r>
              <w:rPr>
                <w:rFonts w:ascii="Cambria Math" w:hAnsi="Cambria Math"/>
                <w:lang w:val="en-US"/>
              </w:rPr>
              <m:t>*</m:t>
            </m:r>
          </m:sup>
        </m:sSup>
      </m:oMath>
      <w:r>
        <w:rPr>
          <w:rFonts w:eastAsiaTheme="minorEastAsia"/>
          <w:lang w:val="en-US"/>
        </w:rPr>
        <w:t xml:space="preserve">, we have </w:t>
      </w:r>
      <m:oMath>
        <m:r>
          <w:rPr>
            <w:rFonts w:ascii="Cambria Math" w:eastAsiaTheme="minorEastAsia" w:hAnsi="Cambria Math"/>
            <w:lang w:val="en-US"/>
          </w:rPr>
          <m:t xml:space="preserve"> </m:t>
        </m:r>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 xml:space="preserve"> = </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 xml:space="preserve">(1-θ) +2θ </m:t>
            </m:r>
          </m:num>
          <m:den>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2</m:t>
                </m:r>
              </m:sup>
            </m:sSup>
            <m:r>
              <w:rPr>
                <w:rFonts w:ascii="Cambria Math" w:eastAsiaTheme="minorEastAsia" w:hAnsi="Cambria Math"/>
                <w:lang w:val="en-US"/>
              </w:rPr>
              <m:t xml:space="preserve"> - 1)</m:t>
            </m:r>
          </m:den>
        </m:f>
        <m:r>
          <w:rPr>
            <w:rFonts w:ascii="Cambria Math" w:eastAsiaTheme="minorEastAsia" w:hAnsi="Cambria Math"/>
            <w:lang w:val="en-US"/>
          </w:rPr>
          <m:t xml:space="preserve"> (</m:t>
        </m:r>
        <m:acc>
          <m:accPr>
            <m:ctrlPr>
              <w:rPr>
                <w:rFonts w:ascii="Cambria Math" w:eastAsiaTheme="minorEastAsia" w:hAnsi="Cambria Math"/>
                <w:i/>
                <w:lang w:val="en-US"/>
              </w:rPr>
            </m:ctrlPr>
          </m:accPr>
          <m:e>
            <m:r>
              <w:rPr>
                <w:rFonts w:ascii="Cambria Math" w:eastAsiaTheme="minorEastAsia" w:hAnsi="Cambria Math"/>
                <w:lang w:val="en-US"/>
              </w:rPr>
              <m:t>C</m:t>
            </m:r>
          </m:e>
        </m:acc>
        <m:r>
          <w:rPr>
            <w:rFonts w:ascii="Cambria Math" w:eastAsiaTheme="minorEastAsia" w:hAnsi="Cambria Math"/>
            <w:lang w:val="en-US"/>
          </w:rPr>
          <m:t xml:space="preserve"> - </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C</m:t>
                </m:r>
              </m:e>
            </m:acc>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which shows the domestic currency depreciation needed to raise relative home output enough to justify a permanent rise in home consumption</w:t>
      </w:r>
      <w:r w:rsidR="00DF426B">
        <w:rPr>
          <w:rFonts w:eastAsiaTheme="minorEastAsia"/>
          <w:lang w:val="en-US"/>
        </w:rPr>
        <w:t xml:space="preserve">. </w:t>
      </w:r>
    </w:p>
    <w:p w14:paraId="07B574ED" w14:textId="11CA5BB2" w:rsidR="00DF426B" w:rsidRDefault="00DF426B" w:rsidP="00DF426B">
      <w:pPr>
        <w:pStyle w:val="ListParagraph"/>
        <w:rPr>
          <w:rFonts w:eastAsiaTheme="minorEastAsia"/>
          <w:lang w:val="en-US"/>
        </w:rPr>
      </w:pPr>
      <w:r>
        <w:rPr>
          <w:rFonts w:eastAsiaTheme="minorEastAsia"/>
          <w:lang w:val="en-US"/>
        </w:rPr>
        <w:t>Step 1: higher home output</w:t>
      </w:r>
      <w:r w:rsidRPr="00DF426B">
        <w:rPr>
          <w:rFonts w:eastAsiaTheme="minorEastAsia"/>
          <w:lang w:val="en-US"/>
        </w:rPr>
        <w:sym w:font="Wingdings" w:char="F0E0"/>
      </w:r>
      <w:r>
        <w:rPr>
          <w:rFonts w:eastAsiaTheme="minorEastAsia"/>
          <w:lang w:val="en-US"/>
        </w:rPr>
        <w:t xml:space="preserve"> higher home income</w:t>
      </w:r>
    </w:p>
    <w:p w14:paraId="79DDA2D8" w14:textId="77777777" w:rsidR="00DF426B" w:rsidRDefault="00DF426B" w:rsidP="00DF426B">
      <w:pPr>
        <w:ind w:firstLine="720"/>
        <w:rPr>
          <w:rFonts w:eastAsiaTheme="minorEastAsia"/>
          <w:lang w:val="en-US"/>
        </w:rPr>
      </w:pPr>
      <w:r w:rsidRPr="00DF426B">
        <w:rPr>
          <w:rFonts w:eastAsiaTheme="minorEastAsia"/>
          <w:lang w:val="en-US"/>
        </w:rPr>
        <w:t xml:space="preserve">Step 2: higher home output requires switching to home goods. With </w:t>
      </w:r>
    </w:p>
    <w:p w14:paraId="390F0235" w14:textId="77777777" w:rsidR="00DF426B" w:rsidRDefault="00DF426B" w:rsidP="00DF426B">
      <w:pPr>
        <w:ind w:left="1440"/>
        <w:rPr>
          <w:rFonts w:eastAsiaTheme="minorEastAsia"/>
          <w:lang w:val="en-US"/>
        </w:rPr>
      </w:pPr>
      <w:r w:rsidRPr="00DF426B">
        <w:rPr>
          <w:rFonts w:eastAsiaTheme="minorEastAsia"/>
          <w:lang w:val="en-US"/>
        </w:rPr>
        <w:t>monopolistic competition, home firms need higher demand to produce more. A depreciation (increased E) makes home goods relatively cheaper, switching demand to home goods, raising home output.</w:t>
      </w:r>
    </w:p>
    <w:p w14:paraId="67087B21" w14:textId="77777777" w:rsidR="00DF426B" w:rsidRDefault="00DF426B" w:rsidP="00DF426B">
      <w:pPr>
        <w:ind w:left="2160"/>
        <w:rPr>
          <w:rFonts w:eastAsiaTheme="minorEastAsia"/>
          <w:lang w:val="en-US"/>
        </w:rPr>
      </w:pPr>
    </w:p>
    <w:p w14:paraId="3797BCA6" w14:textId="77777777" w:rsidR="00DF426B" w:rsidRDefault="00DF426B" w:rsidP="00DF426B">
      <w:pPr>
        <w:ind w:firstLine="720"/>
        <w:rPr>
          <w:rFonts w:eastAsiaTheme="minorEastAsia"/>
          <w:lang w:val="en-US"/>
        </w:rPr>
      </w:pPr>
      <w:r>
        <w:rPr>
          <w:rFonts w:eastAsiaTheme="minorEastAsia"/>
          <w:lang w:val="en-US"/>
        </w:rPr>
        <w:t xml:space="preserve">Step 3: </w:t>
      </w:r>
      <w:r w:rsidRPr="00DF426B">
        <w:rPr>
          <w:rFonts w:eastAsiaTheme="minorEastAsia"/>
          <w:lang w:val="en-US"/>
        </w:rPr>
        <w:t>Deprecia</w:t>
      </w:r>
      <w:r>
        <w:rPr>
          <w:rFonts w:eastAsiaTheme="minorEastAsia"/>
          <w:lang w:val="en-US"/>
        </w:rPr>
        <w:t>ti</w:t>
      </w:r>
      <w:r w:rsidRPr="00DF426B">
        <w:rPr>
          <w:rFonts w:eastAsiaTheme="minorEastAsia"/>
          <w:lang w:val="en-US"/>
        </w:rPr>
        <w:t>on must be large enough</w:t>
      </w:r>
      <w:r>
        <w:rPr>
          <w:rFonts w:eastAsiaTheme="minorEastAsia"/>
          <w:lang w:val="en-US"/>
        </w:rPr>
        <w:t xml:space="preserve"> to generate enough expenditure switching </w:t>
      </w:r>
    </w:p>
    <w:p w14:paraId="1A896028" w14:textId="78D8FE11" w:rsidR="00DF426B" w:rsidRDefault="00DF426B" w:rsidP="00DF426B">
      <w:pPr>
        <w:ind w:left="720" w:firstLine="720"/>
        <w:rPr>
          <w:rFonts w:eastAsiaTheme="minorEastAsia"/>
          <w:lang w:val="en-US"/>
        </w:rPr>
      </w:pPr>
      <w:r>
        <w:rPr>
          <w:rFonts w:eastAsiaTheme="minorEastAsia"/>
          <w:lang w:val="en-US"/>
        </w:rPr>
        <w:t xml:space="preserve">to induce output increase. </w:t>
      </w:r>
    </w:p>
    <w:p w14:paraId="7830ADC1" w14:textId="38B1972B" w:rsidR="00DF426B" w:rsidRDefault="00DF426B" w:rsidP="00DF426B">
      <w:pPr>
        <w:rPr>
          <w:rFonts w:eastAsiaTheme="minorEastAsia"/>
          <w:lang w:val="en-US"/>
        </w:rPr>
      </w:pPr>
      <w:r>
        <w:rPr>
          <w:rFonts w:eastAsiaTheme="minorEastAsia"/>
          <w:lang w:val="en-US"/>
        </w:rPr>
        <w:t>Theta: intertemporal elasticity of substitution between home and foreign goods. Higher theta means easier substitution. If theta is high, an increase in domestic C will induce more switching between home and foreign</w:t>
      </w:r>
      <w:r w:rsidR="00692EB2">
        <w:rPr>
          <w:rFonts w:eastAsiaTheme="minorEastAsia"/>
          <w:lang w:val="en-US"/>
        </w:rPr>
        <w:t xml:space="preserve"> goods. Thus, if home currency depreciates, consumers can switch to home goods and </w:t>
      </w:r>
      <w:proofErr w:type="spellStart"/>
      <w:r w:rsidR="00692EB2">
        <w:rPr>
          <w:rFonts w:eastAsiaTheme="minorEastAsia"/>
          <w:lang w:val="en-US"/>
        </w:rPr>
        <w:t>doreign</w:t>
      </w:r>
      <w:proofErr w:type="spellEnd"/>
      <w:r w:rsidR="00692EB2">
        <w:rPr>
          <w:rFonts w:eastAsiaTheme="minorEastAsia"/>
          <w:lang w:val="en-US"/>
        </w:rPr>
        <w:t xml:space="preserve"> consumers will also choose home goods. Conversely, if theta is low, consumers at home will be worse-off as they cannot switch between goods and must pay higher prices. Such a situation would see a deterioration in the trade balance under depreciation as demand is inelastic. </w:t>
      </w:r>
    </w:p>
    <w:p w14:paraId="7FC82D37" w14:textId="77777777" w:rsidR="00DF426B" w:rsidRPr="00DF426B" w:rsidRDefault="00DF426B" w:rsidP="00DF426B">
      <w:pPr>
        <w:ind w:left="2160"/>
        <w:rPr>
          <w:rFonts w:eastAsiaTheme="minorEastAsia"/>
          <w:lang w:val="en-US"/>
        </w:rPr>
      </w:pPr>
    </w:p>
    <w:p w14:paraId="5FDC6B92" w14:textId="716C3F27" w:rsidR="00AF1717" w:rsidRPr="00AF1717" w:rsidRDefault="00AF1717" w:rsidP="00AF1717">
      <w:pPr>
        <w:pStyle w:val="ListParagraph"/>
        <w:rPr>
          <w:lang w:val="en-US"/>
        </w:rPr>
      </w:pPr>
    </w:p>
    <w:p w14:paraId="3EB0BE10" w14:textId="77777777" w:rsidR="00AF1717" w:rsidRPr="00AF1717" w:rsidRDefault="00AF1717" w:rsidP="00AF1717">
      <w:pPr>
        <w:rPr>
          <w:lang w:val="en-US"/>
        </w:rPr>
      </w:pPr>
    </w:p>
    <w:p w14:paraId="1D40301A" w14:textId="2FCE8F3A" w:rsidR="00AF1717" w:rsidRPr="00AF1717" w:rsidRDefault="00AF1717" w:rsidP="00AF1717">
      <w:pPr>
        <w:jc w:val="left"/>
        <w:rPr>
          <w:sz w:val="32"/>
          <w:szCs w:val="32"/>
          <w:lang w:val="en-US"/>
        </w:rPr>
      </w:pPr>
    </w:p>
    <w:p w14:paraId="1C2C9DF3" w14:textId="77777777" w:rsidR="00E3107A" w:rsidRDefault="00E3107A" w:rsidP="00934785">
      <w:pPr>
        <w:jc w:val="left"/>
        <w:rPr>
          <w:lang w:val="en-US"/>
        </w:rPr>
      </w:pPr>
    </w:p>
    <w:p w14:paraId="27D336D8" w14:textId="77777777" w:rsidR="00934785" w:rsidRPr="00934785" w:rsidRDefault="00934785" w:rsidP="00934785">
      <w:pPr>
        <w:jc w:val="left"/>
        <w:rPr>
          <w:lang w:val="en-US"/>
        </w:rPr>
      </w:pPr>
    </w:p>
    <w:p w14:paraId="7AD301EA" w14:textId="619A28F2" w:rsidR="00BB2354" w:rsidRPr="00BB2354" w:rsidRDefault="00BB2354" w:rsidP="00BB2354">
      <w:pPr>
        <w:rPr>
          <w:lang w:val="en-US"/>
        </w:rPr>
      </w:pPr>
    </w:p>
    <w:sectPr w:rsidR="00BB2354" w:rsidRPr="00BB23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F083" w14:textId="77777777" w:rsidR="00BC6AA5" w:rsidRDefault="00BC6AA5" w:rsidP="00D73E4C">
      <w:pPr>
        <w:spacing w:line="240" w:lineRule="auto"/>
      </w:pPr>
      <w:r>
        <w:separator/>
      </w:r>
    </w:p>
  </w:endnote>
  <w:endnote w:type="continuationSeparator" w:id="0">
    <w:p w14:paraId="5B1AED26" w14:textId="77777777" w:rsidR="00BC6AA5" w:rsidRDefault="00BC6AA5" w:rsidP="00D73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F35C" w14:textId="77777777" w:rsidR="00BC6AA5" w:rsidRDefault="00BC6AA5" w:rsidP="00D73E4C">
      <w:pPr>
        <w:spacing w:line="240" w:lineRule="auto"/>
      </w:pPr>
      <w:r>
        <w:separator/>
      </w:r>
    </w:p>
  </w:footnote>
  <w:footnote w:type="continuationSeparator" w:id="0">
    <w:p w14:paraId="6A663F52" w14:textId="77777777" w:rsidR="00BC6AA5" w:rsidRDefault="00BC6AA5" w:rsidP="00D73E4C">
      <w:pPr>
        <w:spacing w:line="240" w:lineRule="auto"/>
      </w:pPr>
      <w:r>
        <w:continuationSeparator/>
      </w:r>
    </w:p>
  </w:footnote>
  <w:footnote w:id="1">
    <w:p w14:paraId="6B10DB68" w14:textId="23418C1A" w:rsidR="00D73E4C" w:rsidRPr="00D73E4C" w:rsidRDefault="00D73E4C" w:rsidP="00D73E4C">
      <w:pPr>
        <w:pStyle w:val="FootnoteText"/>
        <w:rPr>
          <w:lang w:val="en-GB"/>
        </w:rPr>
      </w:pPr>
      <w:r>
        <w:rPr>
          <w:rStyle w:val="FootnoteReference"/>
        </w:rPr>
        <w:footnoteRef/>
      </w:r>
      <w:r>
        <w:t xml:space="preserve"> </w:t>
      </w:r>
      <w:r w:rsidRPr="00D73E4C">
        <w:rPr>
          <w:lang w:val="en-GB"/>
        </w:rPr>
        <w:t xml:space="preserve">Sims and Zha, 1998 </w:t>
      </w:r>
      <w:r>
        <w:rPr>
          <w:lang w:val="en-GB"/>
        </w:rPr>
        <w:t xml:space="preserve">&amp; </w:t>
      </w:r>
      <w:r w:rsidRPr="00D73E4C">
        <w:rPr>
          <w:lang w:val="en-GB"/>
        </w:rPr>
        <w:t>Kim and</w:t>
      </w:r>
      <w:r>
        <w:rPr>
          <w:lang w:val="en-GB"/>
        </w:rPr>
        <w:t xml:space="preserve"> </w:t>
      </w:r>
      <w:r w:rsidRPr="00D73E4C">
        <w:rPr>
          <w:lang w:val="en-GB"/>
        </w:rPr>
        <w:t>Roubini, 2000</w:t>
      </w:r>
    </w:p>
  </w:footnote>
  <w:footnote w:id="2">
    <w:p w14:paraId="4FCD1FBB" w14:textId="0DC170E0" w:rsidR="00E3107A" w:rsidRPr="00E3107A" w:rsidRDefault="00E3107A">
      <w:pPr>
        <w:pStyle w:val="FootnoteText"/>
        <w:rPr>
          <w:lang w:val="en-US"/>
        </w:rPr>
      </w:pPr>
      <w:r>
        <w:rPr>
          <w:rStyle w:val="FootnoteReference"/>
        </w:rPr>
        <w:footnoteRef/>
      </w:r>
      <w:r>
        <w:t xml:space="preserve"> </w:t>
      </w:r>
      <w:r>
        <w:rPr>
          <w:lang w:val="en-US"/>
        </w:rPr>
        <w:t>Based on Blanchard &amp; Quah (1989) and Clarida &amp; Gali (1994)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FBA"/>
    <w:multiLevelType w:val="hybridMultilevel"/>
    <w:tmpl w:val="9252D8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8586D"/>
    <w:multiLevelType w:val="hybridMultilevel"/>
    <w:tmpl w:val="15D2A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8A36F9"/>
    <w:multiLevelType w:val="hybridMultilevel"/>
    <w:tmpl w:val="3BFEE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4547C"/>
    <w:multiLevelType w:val="hybridMultilevel"/>
    <w:tmpl w:val="AC2C9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15DD7"/>
    <w:multiLevelType w:val="hybridMultilevel"/>
    <w:tmpl w:val="B9B6EB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BFC0248"/>
    <w:multiLevelType w:val="hybridMultilevel"/>
    <w:tmpl w:val="462C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7C2B42"/>
    <w:multiLevelType w:val="hybridMultilevel"/>
    <w:tmpl w:val="02F61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1C161EA6"/>
    <w:multiLevelType w:val="hybridMultilevel"/>
    <w:tmpl w:val="DDA0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F04206"/>
    <w:multiLevelType w:val="hybridMultilevel"/>
    <w:tmpl w:val="1F98949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401E037D"/>
    <w:multiLevelType w:val="hybridMultilevel"/>
    <w:tmpl w:val="E0106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3847F5"/>
    <w:multiLevelType w:val="hybridMultilevel"/>
    <w:tmpl w:val="C944B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370C42"/>
    <w:multiLevelType w:val="hybridMultilevel"/>
    <w:tmpl w:val="C6B0F2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0F92A5F"/>
    <w:multiLevelType w:val="hybridMultilevel"/>
    <w:tmpl w:val="52863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E67E71"/>
    <w:multiLevelType w:val="hybridMultilevel"/>
    <w:tmpl w:val="383A940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16cid:durableId="2088378427">
    <w:abstractNumId w:val="10"/>
  </w:num>
  <w:num w:numId="2" w16cid:durableId="38433889">
    <w:abstractNumId w:val="0"/>
  </w:num>
  <w:num w:numId="3" w16cid:durableId="678459738">
    <w:abstractNumId w:val="9"/>
  </w:num>
  <w:num w:numId="4" w16cid:durableId="340013225">
    <w:abstractNumId w:val="4"/>
  </w:num>
  <w:num w:numId="5" w16cid:durableId="818617554">
    <w:abstractNumId w:val="11"/>
  </w:num>
  <w:num w:numId="6" w16cid:durableId="1256012553">
    <w:abstractNumId w:val="5"/>
  </w:num>
  <w:num w:numId="7" w16cid:durableId="203490103">
    <w:abstractNumId w:val="2"/>
  </w:num>
  <w:num w:numId="8" w16cid:durableId="633484731">
    <w:abstractNumId w:val="3"/>
  </w:num>
  <w:num w:numId="9" w16cid:durableId="289290317">
    <w:abstractNumId w:val="7"/>
  </w:num>
  <w:num w:numId="10" w16cid:durableId="1727946394">
    <w:abstractNumId w:val="1"/>
  </w:num>
  <w:num w:numId="11" w16cid:durableId="856893307">
    <w:abstractNumId w:val="12"/>
  </w:num>
  <w:num w:numId="12" w16cid:durableId="1942644890">
    <w:abstractNumId w:val="8"/>
  </w:num>
  <w:num w:numId="13" w16cid:durableId="703095189">
    <w:abstractNumId w:val="13"/>
  </w:num>
  <w:num w:numId="14" w16cid:durableId="639383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29"/>
    <w:rsid w:val="000D44E0"/>
    <w:rsid w:val="000F345C"/>
    <w:rsid w:val="001D09D2"/>
    <w:rsid w:val="002A6B48"/>
    <w:rsid w:val="003B4B7F"/>
    <w:rsid w:val="004571DB"/>
    <w:rsid w:val="00502F03"/>
    <w:rsid w:val="00585BF3"/>
    <w:rsid w:val="005E0A29"/>
    <w:rsid w:val="006226EF"/>
    <w:rsid w:val="00692EB2"/>
    <w:rsid w:val="006C1BDA"/>
    <w:rsid w:val="006D5286"/>
    <w:rsid w:val="00724D04"/>
    <w:rsid w:val="007643F0"/>
    <w:rsid w:val="0085598C"/>
    <w:rsid w:val="00855D66"/>
    <w:rsid w:val="00934785"/>
    <w:rsid w:val="009943C2"/>
    <w:rsid w:val="00A013D9"/>
    <w:rsid w:val="00A408DE"/>
    <w:rsid w:val="00A9522A"/>
    <w:rsid w:val="00AF1717"/>
    <w:rsid w:val="00BB2354"/>
    <w:rsid w:val="00BC6AA5"/>
    <w:rsid w:val="00CF5425"/>
    <w:rsid w:val="00D73E4C"/>
    <w:rsid w:val="00DF426B"/>
    <w:rsid w:val="00E3107A"/>
    <w:rsid w:val="00E54B83"/>
    <w:rsid w:val="00FA7F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559A"/>
  <w15:chartTrackingRefBased/>
  <w15:docId w15:val="{6394CA12-51CD-0F45-95FE-5E25F5E86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D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E0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0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0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29"/>
    <w:rPr>
      <w:rFonts w:eastAsiaTheme="majorEastAsia" w:cstheme="majorBidi"/>
      <w:color w:val="272727" w:themeColor="text1" w:themeTint="D8"/>
    </w:rPr>
  </w:style>
  <w:style w:type="paragraph" w:styleId="Title">
    <w:name w:val="Title"/>
    <w:basedOn w:val="Normal"/>
    <w:next w:val="Normal"/>
    <w:link w:val="TitleChar"/>
    <w:uiPriority w:val="10"/>
    <w:qFormat/>
    <w:rsid w:val="005E0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A29"/>
    <w:rPr>
      <w:rFonts w:ascii="Times New Roman" w:hAnsi="Times New Roman"/>
      <w:i/>
      <w:iCs/>
      <w:color w:val="404040" w:themeColor="text1" w:themeTint="BF"/>
    </w:rPr>
  </w:style>
  <w:style w:type="paragraph" w:styleId="ListParagraph">
    <w:name w:val="List Paragraph"/>
    <w:basedOn w:val="Normal"/>
    <w:uiPriority w:val="34"/>
    <w:qFormat/>
    <w:rsid w:val="005E0A29"/>
    <w:pPr>
      <w:ind w:left="720"/>
      <w:contextualSpacing/>
    </w:pPr>
  </w:style>
  <w:style w:type="character" w:styleId="IntenseEmphasis">
    <w:name w:val="Intense Emphasis"/>
    <w:basedOn w:val="DefaultParagraphFont"/>
    <w:uiPriority w:val="21"/>
    <w:qFormat/>
    <w:rsid w:val="005E0A29"/>
    <w:rPr>
      <w:i/>
      <w:iCs/>
      <w:color w:val="0F4761" w:themeColor="accent1" w:themeShade="BF"/>
    </w:rPr>
  </w:style>
  <w:style w:type="paragraph" w:styleId="IntenseQuote">
    <w:name w:val="Intense Quote"/>
    <w:basedOn w:val="Normal"/>
    <w:next w:val="Normal"/>
    <w:link w:val="IntenseQuoteChar"/>
    <w:uiPriority w:val="30"/>
    <w:qFormat/>
    <w:rsid w:val="005E0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A29"/>
    <w:rPr>
      <w:rFonts w:ascii="Times New Roman" w:hAnsi="Times New Roman"/>
      <w:i/>
      <w:iCs/>
      <w:color w:val="0F4761" w:themeColor="accent1" w:themeShade="BF"/>
    </w:rPr>
  </w:style>
  <w:style w:type="character" w:styleId="IntenseReference">
    <w:name w:val="Intense Reference"/>
    <w:basedOn w:val="DefaultParagraphFont"/>
    <w:uiPriority w:val="32"/>
    <w:qFormat/>
    <w:rsid w:val="005E0A29"/>
    <w:rPr>
      <w:b/>
      <w:bCs/>
      <w:smallCaps/>
      <w:color w:val="0F4761" w:themeColor="accent1" w:themeShade="BF"/>
      <w:spacing w:val="5"/>
    </w:rPr>
  </w:style>
  <w:style w:type="paragraph" w:styleId="FootnoteText">
    <w:name w:val="footnote text"/>
    <w:basedOn w:val="Normal"/>
    <w:link w:val="FootnoteTextChar"/>
    <w:uiPriority w:val="99"/>
    <w:semiHidden/>
    <w:unhideWhenUsed/>
    <w:rsid w:val="00D73E4C"/>
    <w:pPr>
      <w:spacing w:line="240" w:lineRule="auto"/>
    </w:pPr>
    <w:rPr>
      <w:sz w:val="20"/>
      <w:szCs w:val="20"/>
    </w:rPr>
  </w:style>
  <w:style w:type="character" w:customStyle="1" w:styleId="FootnoteTextChar">
    <w:name w:val="Footnote Text Char"/>
    <w:basedOn w:val="DefaultParagraphFont"/>
    <w:link w:val="FootnoteText"/>
    <w:uiPriority w:val="99"/>
    <w:semiHidden/>
    <w:rsid w:val="00D73E4C"/>
    <w:rPr>
      <w:rFonts w:ascii="Times New Roman" w:hAnsi="Times New Roman"/>
      <w:sz w:val="20"/>
      <w:szCs w:val="20"/>
    </w:rPr>
  </w:style>
  <w:style w:type="character" w:styleId="FootnoteReference">
    <w:name w:val="footnote reference"/>
    <w:basedOn w:val="DefaultParagraphFont"/>
    <w:uiPriority w:val="99"/>
    <w:semiHidden/>
    <w:unhideWhenUsed/>
    <w:rsid w:val="00D73E4C"/>
    <w:rPr>
      <w:vertAlign w:val="superscript"/>
    </w:rPr>
  </w:style>
  <w:style w:type="character" w:styleId="PlaceholderText">
    <w:name w:val="Placeholder Text"/>
    <w:basedOn w:val="DefaultParagraphFont"/>
    <w:uiPriority w:val="99"/>
    <w:semiHidden/>
    <w:rsid w:val="00AF17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1F3BF6-1737-E441-BC4B-0B5CE77F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8</Pages>
  <Words>2198</Words>
  <Characters>12533</Characters>
  <Application>Microsoft Office Word</Application>
  <DocSecurity>0</DocSecurity>
  <Lines>104</Lines>
  <Paragraphs>29</Paragraphs>
  <ScaleCrop>false</ScaleCrop>
  <Company/>
  <LinksUpToDate>false</LinksUpToDate>
  <CharactersWithSpaces>14702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Smuts</dc:creator>
  <cp:keywords/>
  <dc:description/>
  <cp:lastModifiedBy>Jan Smuts</cp:lastModifiedBy>
  <cp:revision>15</cp:revision>
  <dcterms:created xsi:type="dcterms:W3CDTF">2025-12-12T15:52:00Z</dcterms:created>
  <dcterms:modified xsi:type="dcterms:W3CDTF">2026-02-23T05:56:00Z</dcterms:modified>
</cp:coreProperties>
</file>