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05F3" w14:textId="793DD430" w:rsidR="00E54B83" w:rsidRDefault="002A2D0E">
      <w:pPr>
        <w:rPr>
          <w:lang w:val="en-US"/>
        </w:rPr>
      </w:pPr>
      <w:r>
        <w:rPr>
          <w:lang w:val="en-US"/>
        </w:rPr>
        <w:t>Lit review</w:t>
      </w:r>
    </w:p>
    <w:p w14:paraId="69E08BFB" w14:textId="77777777" w:rsidR="003F616A" w:rsidRDefault="003F616A">
      <w:pPr>
        <w:rPr>
          <w:lang w:val="en-US"/>
        </w:rPr>
      </w:pPr>
    </w:p>
    <w:p w14:paraId="2CD7FEA8" w14:textId="1D17CEA6" w:rsidR="003D2A2C" w:rsidRDefault="003D2A2C" w:rsidP="003D2A2C">
      <w:pPr>
        <w:rPr>
          <w:lang w:val="en-US"/>
        </w:rPr>
      </w:pPr>
      <w:r>
        <w:rPr>
          <w:lang w:val="en-US"/>
        </w:rPr>
        <w:t xml:space="preserve">Since the 1980’s, literature on the show that the relationship between exchange rates and prices can be assessed through both micro and macroeconomic perspectives. </w:t>
      </w:r>
      <w:proofErr w:type="gramStart"/>
      <w:r>
        <w:rPr>
          <w:lang w:val="en-US"/>
        </w:rPr>
        <w:t>With regard to</w:t>
      </w:r>
      <w:proofErr w:type="gramEnd"/>
      <w:r>
        <w:rPr>
          <w:lang w:val="en-US"/>
        </w:rPr>
        <w:t xml:space="preserve"> the former, industrial organization theory has been used to explain disconnects between changes to nominal exchange rates and prices and the resulting violation of the Law of One Price over the long term. According to \</w:t>
      </w:r>
      <w:proofErr w:type="spellStart"/>
      <w:r>
        <w:rPr>
          <w:lang w:val="en-US"/>
        </w:rPr>
        <w:t>textcite</w:t>
      </w:r>
      <w:proofErr w:type="spellEnd"/>
      <w:r>
        <w:rPr>
          <w:lang w:val="en-US"/>
        </w:rPr>
        <w:t>{</w:t>
      </w:r>
      <w:r>
        <w:rPr>
          <w:color w:val="000000"/>
        </w:rPr>
        <w:t>dornbusch1985exchange</w:t>
      </w:r>
      <w:r>
        <w:rPr>
          <w:lang w:val="en-US"/>
        </w:rPr>
        <w:t>}, exchange rate movements interact with sticky prices and wages, producing a cost-shock for foreign firms in domestic markets which will result in an industry-wide adjustment in prices based on the industry’s market concentration, producer homogeneity, substitutability and relative split between foreign and domestic goods. \</w:t>
      </w:r>
      <w:proofErr w:type="spellStart"/>
      <w:proofErr w:type="gramStart"/>
      <w:r>
        <w:rPr>
          <w:lang w:val="en-US"/>
        </w:rPr>
        <w:t>textcite</w:t>
      </w:r>
      <w:proofErr w:type="spellEnd"/>
      <w:proofErr w:type="gramEnd"/>
      <w:r>
        <w:rPr>
          <w:lang w:val="en-US"/>
        </w:rPr>
        <w:t>{</w:t>
      </w:r>
      <w:r>
        <w:rPr>
          <w:color w:val="000000"/>
        </w:rPr>
        <w:t>krugman1986</w:t>
      </w:r>
      <w:r>
        <w:rPr>
          <w:lang w:val="en-US"/>
        </w:rPr>
        <w:t xml:space="preserve">} provides three potential explanations for why dynamic exchange rates may not lead to proportionate adjustments in import prices. Supply-side constraints (for example in marketing and distribution channels) in different markets dampens the effect of a depreciation in the domestic currency on domestic prices, as foreign firms face costs in expanding supply infrastructure. On the demand-side, to the extent that the impact of prices on demand is lagged, foreign producers anticipating domestic currency depreciations may decrease their current prices </w:t>
      </w:r>
      <w:proofErr w:type="gramStart"/>
      <w:r>
        <w:rPr>
          <w:lang w:val="en-US"/>
        </w:rPr>
        <w:t>in order to</w:t>
      </w:r>
      <w:proofErr w:type="gramEnd"/>
      <w:r>
        <w:rPr>
          <w:lang w:val="en-US"/>
        </w:rPr>
        <w:t xml:space="preserve"> avoid losing sales. Finally, firm reputation concerns may also affect pricing decisions when agents face additional costs to reputation among importers when changing prices. \</w:t>
      </w:r>
      <w:proofErr w:type="spellStart"/>
      <w:r>
        <w:rPr>
          <w:lang w:val="en-US"/>
        </w:rPr>
        <w:t>textcite</w:t>
      </w:r>
      <w:proofErr w:type="spellEnd"/>
      <w:r>
        <w:rPr>
          <w:lang w:val="en-US"/>
        </w:rPr>
        <w:t>{</w:t>
      </w:r>
      <w:r>
        <w:rPr>
          <w:color w:val="000000"/>
        </w:rPr>
        <w:t>marston1990pricing</w:t>
      </w:r>
      <w:r>
        <w:rPr>
          <w:lang w:val="en-US"/>
        </w:rPr>
        <w:t xml:space="preserve">} studied the </w:t>
      </w:r>
      <w:proofErr w:type="spellStart"/>
      <w:r>
        <w:rPr>
          <w:lang w:val="en-US"/>
        </w:rPr>
        <w:t>behaviour</w:t>
      </w:r>
      <w:proofErr w:type="spellEnd"/>
      <w:r>
        <w:rPr>
          <w:lang w:val="en-US"/>
        </w:rPr>
        <w:t xml:space="preserve"> of Japanese firms exporting to the US and showed that differences in the elasticity of mark-ups between domestic and foreign markets and interdependence in quantities allocated to foreign and domestic markets mean that yen depreciations can lead to exporting firms increasing their mark-ups,  resulting in a decrease in the  dollar price that is less than the magnitude of the dollar appreciation. </w:t>
      </w:r>
    </w:p>
    <w:p w14:paraId="3F817922" w14:textId="77777777" w:rsidR="00C47594" w:rsidRDefault="00C47594" w:rsidP="003D2A2C">
      <w:pPr>
        <w:rPr>
          <w:lang w:val="en-US"/>
        </w:rPr>
      </w:pPr>
    </w:p>
    <w:p w14:paraId="46FC8C2F" w14:textId="17484734" w:rsidR="00C47594" w:rsidRDefault="00C47594" w:rsidP="00C47594">
      <w:pPr>
        <w:rPr>
          <w:lang w:val="en-US"/>
        </w:rPr>
      </w:pPr>
      <w:r>
        <w:rPr>
          <w:lang w:val="en-US"/>
        </w:rPr>
        <w:t>Other studies have modelled exporting firms’ currency pricing decisions</w:t>
      </w:r>
      <w:r w:rsidR="004375E2">
        <w:rPr>
          <w:lang w:val="en-US"/>
        </w:rPr>
        <w:t xml:space="preserve"> and pass-through</w:t>
      </w:r>
      <w:r>
        <w:rPr>
          <w:lang w:val="en-US"/>
        </w:rPr>
        <w:t xml:space="preserve"> </w:t>
      </w:r>
      <w:r w:rsidR="004375E2">
        <w:rPr>
          <w:lang w:val="en-US"/>
        </w:rPr>
        <w:t xml:space="preserve">according to </w:t>
      </w:r>
      <w:r>
        <w:rPr>
          <w:lang w:val="en-US"/>
        </w:rPr>
        <w:t xml:space="preserve">macroeconomic </w:t>
      </w:r>
      <w:r w:rsidR="004375E2">
        <w:rPr>
          <w:lang w:val="en-US"/>
        </w:rPr>
        <w:t>features</w:t>
      </w:r>
      <w:r>
        <w:rPr>
          <w:lang w:val="en-US"/>
        </w:rPr>
        <w:t xml:space="preserve">. </w:t>
      </w:r>
      <w:r w:rsidR="00516006">
        <w:rPr>
          <w:lang w:val="en-US"/>
        </w:rPr>
        <w:t xml:space="preserve">In the partial equilibrium models by </w:t>
      </w:r>
      <w:r>
        <w:rPr>
          <w:lang w:val="en-US"/>
        </w:rPr>
        <w:t>\</w:t>
      </w:r>
      <w:proofErr w:type="spellStart"/>
      <w:r>
        <w:rPr>
          <w:lang w:val="en-US"/>
        </w:rPr>
        <w:t>textcite</w:t>
      </w:r>
      <w:proofErr w:type="spellEnd"/>
      <w:r>
        <w:rPr>
          <w:lang w:val="en-US"/>
        </w:rPr>
        <w:t>{</w:t>
      </w:r>
      <w:r w:rsidR="00FF67FB">
        <w:rPr>
          <w:color w:val="000000"/>
        </w:rPr>
        <w:t>friberg1998currency</w:t>
      </w:r>
      <w:r>
        <w:rPr>
          <w:lang w:val="en-US"/>
        </w:rPr>
        <w:t xml:space="preserve">} </w:t>
      </w:r>
      <w:r w:rsidR="00E31E03">
        <w:rPr>
          <w:lang w:val="en-US"/>
        </w:rPr>
        <w:t>and \</w:t>
      </w:r>
      <w:proofErr w:type="spellStart"/>
      <w:r w:rsidR="00E31E03">
        <w:rPr>
          <w:lang w:val="en-US"/>
        </w:rPr>
        <w:t>textcite</w:t>
      </w:r>
      <w:proofErr w:type="spellEnd"/>
      <w:r w:rsidR="00E31E03">
        <w:rPr>
          <w:lang w:val="en-US"/>
        </w:rPr>
        <w:t>{engel</w:t>
      </w:r>
      <w:r w:rsidR="00516006">
        <w:rPr>
          <w:lang w:val="en-US"/>
        </w:rPr>
        <w:t>-2006</w:t>
      </w:r>
      <w:r w:rsidR="00E31E03">
        <w:rPr>
          <w:lang w:val="en-US"/>
        </w:rPr>
        <w:t>}</w:t>
      </w:r>
      <w:r w:rsidR="00516006">
        <w:rPr>
          <w:lang w:val="en-US"/>
        </w:rPr>
        <w:t>, currency volatility and its covariance with costs and demand structures facing firms affect their decisions about which currencies to invoice in</w:t>
      </w:r>
      <w:r w:rsidR="00A62B90">
        <w:rPr>
          <w:lang w:val="en-US"/>
        </w:rPr>
        <w:t>, with \</w:t>
      </w:r>
      <w:proofErr w:type="spellStart"/>
      <w:r w:rsidR="00A62B90">
        <w:rPr>
          <w:lang w:val="en-US"/>
        </w:rPr>
        <w:t>textcite</w:t>
      </w:r>
      <w:proofErr w:type="spellEnd"/>
      <w:r w:rsidR="00A62B90">
        <w:rPr>
          <w:lang w:val="en-US"/>
        </w:rPr>
        <w:t>{</w:t>
      </w:r>
      <w:r w:rsidR="00DD1051">
        <w:rPr>
          <w:color w:val="000000"/>
        </w:rPr>
        <w:t>devereux2004endogenous</w:t>
      </w:r>
      <w:r w:rsidR="00A62B90">
        <w:rPr>
          <w:lang w:val="en-US"/>
        </w:rPr>
        <w:t>}</w:t>
      </w:r>
      <w:r w:rsidR="00DD1051">
        <w:rPr>
          <w:lang w:val="en-US"/>
        </w:rPr>
        <w:t xml:space="preserve"> </w:t>
      </w:r>
      <w:proofErr w:type="gramStart"/>
      <w:r w:rsidR="00DD1051">
        <w:rPr>
          <w:lang w:val="en-US"/>
        </w:rPr>
        <w:t>assuming that</w:t>
      </w:r>
      <w:proofErr w:type="gramEnd"/>
      <w:r w:rsidR="00DD1051">
        <w:rPr>
          <w:lang w:val="en-US"/>
        </w:rPr>
        <w:t xml:space="preserve"> higher exchange rate volatility </w:t>
      </w:r>
      <w:proofErr w:type="spellStart"/>
      <w:r w:rsidR="00DD1051">
        <w:rPr>
          <w:lang w:val="en-US"/>
        </w:rPr>
        <w:t>incentivises</w:t>
      </w:r>
      <w:proofErr w:type="spellEnd"/>
      <w:r w:rsidR="00DD1051">
        <w:rPr>
          <w:lang w:val="en-US"/>
        </w:rPr>
        <w:t xml:space="preserve"> PCP when production costs are local, leading to higher ERPT</w:t>
      </w:r>
      <w:r w:rsidR="00516006">
        <w:rPr>
          <w:lang w:val="en-US"/>
        </w:rPr>
        <w:t xml:space="preserve">. </w:t>
      </w:r>
      <w:r w:rsidR="00C109F2">
        <w:rPr>
          <w:lang w:val="en-US"/>
        </w:rPr>
        <w:t>\</w:t>
      </w:r>
      <w:proofErr w:type="spellStart"/>
      <w:proofErr w:type="gramStart"/>
      <w:r w:rsidR="00C109F2">
        <w:rPr>
          <w:lang w:val="en-US"/>
        </w:rPr>
        <w:t>textcite</w:t>
      </w:r>
      <w:proofErr w:type="spellEnd"/>
      <w:proofErr w:type="gramEnd"/>
      <w:r w:rsidR="00C109F2">
        <w:rPr>
          <w:lang w:val="en-US"/>
        </w:rPr>
        <w:t>{</w:t>
      </w:r>
      <w:r w:rsidR="00C109F2">
        <w:rPr>
          <w:color w:val="000000"/>
        </w:rPr>
        <w:t>bacchetta2005theory</w:t>
      </w:r>
      <w:r w:rsidR="00C109F2">
        <w:rPr>
          <w:lang w:val="en-US"/>
        </w:rPr>
        <w:t xml:space="preserve">} map out a general equilibrium model showing that pricing decisions </w:t>
      </w:r>
      <w:r w:rsidR="002B3A5D">
        <w:rPr>
          <w:lang w:val="en-US"/>
        </w:rPr>
        <w:t xml:space="preserve">are informed by relative market size and product differentiation, with exporters being more likely to invoice in currencies with large and differentiated markets. </w:t>
      </w:r>
      <w:r w:rsidR="004375E2">
        <w:rPr>
          <w:lang w:val="en-US"/>
        </w:rPr>
        <w:lastRenderedPageBreak/>
        <w:t>Alongside exchange rate dynamics, inflation can also play a role in determining how exchange rate changes are passed through. According to</w:t>
      </w:r>
      <w:r w:rsidR="006129F9">
        <w:rPr>
          <w:lang w:val="en-US"/>
        </w:rPr>
        <w:t xml:space="preserve"> \</w:t>
      </w:r>
      <w:proofErr w:type="spellStart"/>
      <w:r w:rsidR="006129F9">
        <w:rPr>
          <w:lang w:val="en-US"/>
        </w:rPr>
        <w:t>textcite</w:t>
      </w:r>
      <w:proofErr w:type="spellEnd"/>
      <w:r w:rsidR="006129F9">
        <w:rPr>
          <w:lang w:val="en-US"/>
        </w:rPr>
        <w:t>{</w:t>
      </w:r>
      <w:r w:rsidR="006129F9">
        <w:rPr>
          <w:color w:val="000000"/>
        </w:rPr>
        <w:t>taylor2000low</w:t>
      </w:r>
      <w:r w:rsidR="006129F9">
        <w:rPr>
          <w:lang w:val="en-US"/>
        </w:rPr>
        <w:t xml:space="preserve">}, </w:t>
      </w:r>
      <w:r w:rsidR="004375E2">
        <w:rPr>
          <w:lang w:val="en-US"/>
        </w:rPr>
        <w:t>that the low-</w:t>
      </w:r>
      <w:proofErr w:type="spellStart"/>
      <w:r w:rsidR="004375E2">
        <w:rPr>
          <w:lang w:val="en-US"/>
        </w:rPr>
        <w:t>inflaiton</w:t>
      </w:r>
      <w:proofErr w:type="spellEnd"/>
      <w:r w:rsidR="004375E2">
        <w:rPr>
          <w:lang w:val="en-US"/>
        </w:rPr>
        <w:t xml:space="preserve"> environment of the 1990’s coincided with </w:t>
      </w:r>
      <w:r w:rsidR="00D45345">
        <w:rPr>
          <w:lang w:val="en-US"/>
        </w:rPr>
        <w:t xml:space="preserve">a fall in ERPT can be explained in part by increasing international competition and lower trade barriers reducing firms’ pricing power as well as by a virtuous but fragile cycle of low inflation expectations, which means that importing firms do not raise prices as marginal cost increases resulting from, for example an increase in the nominal exchange rate, are not anticipated to be permanent. </w:t>
      </w:r>
      <w:r w:rsidR="002E1771">
        <w:rPr>
          <w:lang w:val="en-US"/>
        </w:rPr>
        <w:t>A similar argument is made in \</w:t>
      </w:r>
      <w:proofErr w:type="spellStart"/>
      <w:r w:rsidR="002E1771">
        <w:rPr>
          <w:lang w:val="en-US"/>
        </w:rPr>
        <w:t>textcite</w:t>
      </w:r>
      <w:proofErr w:type="spellEnd"/>
      <w:r w:rsidR="002E1771">
        <w:rPr>
          <w:lang w:val="en-US"/>
        </w:rPr>
        <w:t>{</w:t>
      </w:r>
      <w:r w:rsidR="002E1771">
        <w:rPr>
          <w:color w:val="000000"/>
        </w:rPr>
        <w:t>gagnon2004monetary</w:t>
      </w:r>
      <w:r w:rsidR="002E1771">
        <w:rPr>
          <w:lang w:val="en-US"/>
        </w:rPr>
        <w:t xml:space="preserve">}, who show that lower inflation and inflation targeting by monetary authorities both contribute to lower levels of pass-through to </w:t>
      </w:r>
      <w:r w:rsidR="009D2F9B">
        <w:rPr>
          <w:lang w:val="en-US"/>
        </w:rPr>
        <w:t>import prices. \</w:t>
      </w:r>
      <w:proofErr w:type="spellStart"/>
      <w:proofErr w:type="gramStart"/>
      <w:r w:rsidR="009D2F9B">
        <w:rPr>
          <w:lang w:val="en-US"/>
        </w:rPr>
        <w:t>textcite</w:t>
      </w:r>
      <w:proofErr w:type="spellEnd"/>
      <w:proofErr w:type="gramEnd"/>
      <w:r w:rsidR="009D2F9B">
        <w:rPr>
          <w:lang w:val="en-US"/>
        </w:rPr>
        <w:t>{</w:t>
      </w:r>
      <w:r w:rsidR="009D2F9B">
        <w:rPr>
          <w:color w:val="000000"/>
        </w:rPr>
        <w:t>ozkan2015time</w:t>
      </w:r>
      <w:r w:rsidR="009D2F9B">
        <w:rPr>
          <w:lang w:val="en-US"/>
        </w:rPr>
        <w:t xml:space="preserve">} drew similar conclusions from studying emerging market economies, noting in addition the negative relationship between ERPT and exchange rate volatility and trade openness. </w:t>
      </w:r>
    </w:p>
    <w:p w14:paraId="15C3342F" w14:textId="7551308B" w:rsidR="003D2A2C" w:rsidRDefault="003D2A2C">
      <w:pPr>
        <w:rPr>
          <w:lang w:val="en-US"/>
        </w:rPr>
      </w:pPr>
    </w:p>
    <w:p w14:paraId="4FDCDF23" w14:textId="67F17E7C" w:rsidR="00C44F2D" w:rsidRDefault="00E66187">
      <w:pPr>
        <w:rPr>
          <w:lang w:val="en-US"/>
        </w:rPr>
      </w:pPr>
      <w:r>
        <w:rPr>
          <w:lang w:val="en-US"/>
        </w:rPr>
        <w:t>In the seminal</w:t>
      </w:r>
      <w:r w:rsidR="003F616A">
        <w:rPr>
          <w:lang w:val="en-US"/>
        </w:rPr>
        <w:t xml:space="preserve"> </w:t>
      </w:r>
      <w:r>
        <w:rPr>
          <w:lang w:val="en-US"/>
        </w:rPr>
        <w:t xml:space="preserve">international </w:t>
      </w:r>
      <w:r w:rsidR="003F616A">
        <w:rPr>
          <w:lang w:val="en-US"/>
        </w:rPr>
        <w:t>macroeconomic models by \</w:t>
      </w:r>
      <w:proofErr w:type="spellStart"/>
      <w:proofErr w:type="gramStart"/>
      <w:r w:rsidR="003F616A">
        <w:rPr>
          <w:lang w:val="en-US"/>
        </w:rPr>
        <w:t>textcite</w:t>
      </w:r>
      <w:proofErr w:type="spellEnd"/>
      <w:r w:rsidR="003F616A">
        <w:rPr>
          <w:lang w:val="en-US"/>
        </w:rPr>
        <w:t>{</w:t>
      </w:r>
      <w:proofErr w:type="gramEnd"/>
      <w:r w:rsidR="003F616A">
        <w:rPr>
          <w:color w:val="000000"/>
        </w:rPr>
        <w:t xml:space="preserve">obstfeld1995exchange, </w:t>
      </w:r>
      <w:r>
        <w:rPr>
          <w:color w:val="000000"/>
        </w:rPr>
        <w:t>obstfeld1998risk</w:t>
      </w:r>
      <w:r w:rsidR="003F616A">
        <w:rPr>
          <w:lang w:val="en-US"/>
        </w:rPr>
        <w:t>}</w:t>
      </w:r>
      <w:r>
        <w:rPr>
          <w:lang w:val="en-US"/>
        </w:rPr>
        <w:t>, producers set prices in their own currencies (</w:t>
      </w:r>
      <w:r w:rsidR="00E961BD">
        <w:rPr>
          <w:lang w:val="en-US"/>
        </w:rPr>
        <w:t>p</w:t>
      </w:r>
      <w:r>
        <w:rPr>
          <w:lang w:val="en-US"/>
        </w:rPr>
        <w:t>roducer</w:t>
      </w:r>
      <w:r w:rsidR="00E961BD">
        <w:rPr>
          <w:lang w:val="en-US"/>
        </w:rPr>
        <w:t>-c</w:t>
      </w:r>
      <w:r>
        <w:rPr>
          <w:lang w:val="en-US"/>
        </w:rPr>
        <w:t xml:space="preserve">urrency </w:t>
      </w:r>
      <w:r w:rsidR="00E961BD">
        <w:rPr>
          <w:lang w:val="en-US"/>
        </w:rPr>
        <w:t>p</w:t>
      </w:r>
      <w:r>
        <w:rPr>
          <w:lang w:val="en-US"/>
        </w:rPr>
        <w:t xml:space="preserve">ricing), meaning that the prices of imported goods </w:t>
      </w:r>
      <w:r w:rsidR="00B84117">
        <w:rPr>
          <w:lang w:val="en-US"/>
        </w:rPr>
        <w:t>should change one-for-one in response to exchange rate fluctuations</w:t>
      </w:r>
      <w:r w:rsidR="00E961BD">
        <w:rPr>
          <w:lang w:val="en-US"/>
        </w:rPr>
        <w:t xml:space="preserve"> and that these in turn help re-establish market equilibria. To account for the empirical evidence </w:t>
      </w:r>
      <w:r w:rsidR="00476317">
        <w:rPr>
          <w:lang w:val="en-US"/>
        </w:rPr>
        <w:t>documented in \</w:t>
      </w:r>
      <w:proofErr w:type="spellStart"/>
      <w:r w:rsidR="00476317">
        <w:rPr>
          <w:lang w:val="en-US"/>
        </w:rPr>
        <w:t>textcite</w:t>
      </w:r>
      <w:proofErr w:type="spellEnd"/>
      <w:r w:rsidR="00476317">
        <w:rPr>
          <w:lang w:val="en-US"/>
        </w:rPr>
        <w:t>{</w:t>
      </w:r>
      <w:r w:rsidR="00476317">
        <w:rPr>
          <w:color w:val="000000"/>
        </w:rPr>
        <w:t>goldberg1997causes</w:t>
      </w:r>
      <w:r w:rsidR="00476317">
        <w:rPr>
          <w:lang w:val="en-US"/>
        </w:rPr>
        <w:t xml:space="preserve">} </w:t>
      </w:r>
      <w:r w:rsidR="00E961BD">
        <w:rPr>
          <w:lang w:val="en-US"/>
        </w:rPr>
        <w:t xml:space="preserve">that import prices in </w:t>
      </w:r>
      <w:proofErr w:type="spellStart"/>
      <w:r w:rsidR="00E961BD">
        <w:rPr>
          <w:lang w:val="en-US"/>
        </w:rPr>
        <w:t>industrialised</w:t>
      </w:r>
      <w:proofErr w:type="spellEnd"/>
      <w:r w:rsidR="00E961BD">
        <w:rPr>
          <w:lang w:val="en-US"/>
        </w:rPr>
        <w:t xml:space="preserve"> countries tend not to move with the exchange rate, \</w:t>
      </w:r>
      <w:proofErr w:type="spellStart"/>
      <w:r w:rsidR="00E961BD">
        <w:rPr>
          <w:lang w:val="en-US"/>
        </w:rPr>
        <w:t>textcite</w:t>
      </w:r>
      <w:proofErr w:type="spellEnd"/>
      <w:r w:rsidR="00E961BD">
        <w:rPr>
          <w:lang w:val="en-US"/>
        </w:rPr>
        <w:t>{</w:t>
      </w:r>
      <w:r w:rsidR="00E961BD">
        <w:rPr>
          <w:color w:val="000000"/>
        </w:rPr>
        <w:t>devereux2003monetary</w:t>
      </w:r>
      <w:r w:rsidR="00E961BD">
        <w:rPr>
          <w:lang w:val="en-US"/>
        </w:rPr>
        <w:t xml:space="preserve">} introduce </w:t>
      </w:r>
      <w:r w:rsidR="00DC702F">
        <w:rPr>
          <w:lang w:val="en-US"/>
        </w:rPr>
        <w:t xml:space="preserve">an alternative model in which </w:t>
      </w:r>
      <w:r w:rsidR="00E961BD">
        <w:rPr>
          <w:lang w:val="en-US"/>
        </w:rPr>
        <w:t>in which exporting producers set prices in the currency of the destination country</w:t>
      </w:r>
      <w:r w:rsidR="00DC702F">
        <w:rPr>
          <w:lang w:val="en-US"/>
        </w:rPr>
        <w:t xml:space="preserve"> (local-currency pricing), </w:t>
      </w:r>
      <w:r w:rsidR="00770282">
        <w:rPr>
          <w:lang w:val="en-US"/>
        </w:rPr>
        <w:t>meaning that exchange rate fluctuations have no impact on the prices of imported goods. This in turn</w:t>
      </w:r>
      <w:r w:rsidR="00DC702F">
        <w:rPr>
          <w:lang w:val="en-US"/>
        </w:rPr>
        <w:t xml:space="preserve"> they show </w:t>
      </w:r>
      <w:r w:rsidR="00476317">
        <w:rPr>
          <w:lang w:val="en-US"/>
        </w:rPr>
        <w:t>to dampen the expenditure-switching benefits of a floating exchange rate</w:t>
      </w:r>
      <w:r w:rsidR="00DD1051">
        <w:rPr>
          <w:lang w:val="en-US"/>
        </w:rPr>
        <w:t>, a point reinforced by \</w:t>
      </w:r>
      <w:proofErr w:type="spellStart"/>
      <w:r w:rsidR="00DD1051">
        <w:rPr>
          <w:lang w:val="en-US"/>
        </w:rPr>
        <w:t>textcite</w:t>
      </w:r>
      <w:proofErr w:type="spellEnd"/>
      <w:r w:rsidR="00DD1051">
        <w:rPr>
          <w:lang w:val="en-US"/>
        </w:rPr>
        <w:t>{</w:t>
      </w:r>
      <w:r w:rsidR="00DD1051">
        <w:rPr>
          <w:color w:val="000000"/>
        </w:rPr>
        <w:t>devereux2004endogenous</w:t>
      </w:r>
      <w:r w:rsidR="00DD1051">
        <w:rPr>
          <w:lang w:val="en-US"/>
        </w:rPr>
        <w:t>}</w:t>
      </w:r>
      <w:r w:rsidR="00E961BD">
        <w:rPr>
          <w:lang w:val="en-US"/>
        </w:rPr>
        <w:t>.</w:t>
      </w:r>
      <w:r w:rsidR="00476317">
        <w:rPr>
          <w:lang w:val="en-US"/>
        </w:rPr>
        <w:t xml:space="preserve"> </w:t>
      </w:r>
      <w:r w:rsidR="0001758E">
        <w:rPr>
          <w:lang w:val="en-US"/>
        </w:rPr>
        <w:t>\</w:t>
      </w:r>
      <w:proofErr w:type="spellStart"/>
      <w:proofErr w:type="gramStart"/>
      <w:r w:rsidR="0001758E">
        <w:rPr>
          <w:lang w:val="en-US"/>
        </w:rPr>
        <w:t>textcite</w:t>
      </w:r>
      <w:proofErr w:type="spellEnd"/>
      <w:proofErr w:type="gramEnd"/>
      <w:r w:rsidR="0001758E">
        <w:rPr>
          <w:lang w:val="en-US"/>
        </w:rPr>
        <w:t>{</w:t>
      </w:r>
      <w:r w:rsidR="0001758E">
        <w:rPr>
          <w:color w:val="000000"/>
        </w:rPr>
        <w:t>betts2000exchange</w:t>
      </w:r>
      <w:r w:rsidR="0001758E">
        <w:rPr>
          <w:lang w:val="en-US"/>
        </w:rPr>
        <w:t xml:space="preserve">} allow for a mix between LCP and PCP, showing that under sticky prices, the response of prices to exchange rate movements is a function of the share of domestic firms and foreign firms who price to market (LCP) over all firms. </w:t>
      </w:r>
    </w:p>
    <w:p w14:paraId="74F1BBA1" w14:textId="77777777" w:rsidR="009F61E0" w:rsidRDefault="009F61E0">
      <w:pPr>
        <w:rPr>
          <w:lang w:val="en-US"/>
        </w:rPr>
      </w:pPr>
    </w:p>
    <w:p w14:paraId="444B0F80" w14:textId="1A1CBA62" w:rsidR="009F61E0" w:rsidRDefault="003D2A2C">
      <w:pPr>
        <w:rPr>
          <w:lang w:val="en-US"/>
        </w:rPr>
      </w:pPr>
      <w:r>
        <w:rPr>
          <w:lang w:val="en-US"/>
        </w:rPr>
        <w:t>As posited in \</w:t>
      </w:r>
      <w:proofErr w:type="spellStart"/>
      <w:r>
        <w:rPr>
          <w:lang w:val="en-US"/>
        </w:rPr>
        <w:t>textcite</w:t>
      </w:r>
      <w:proofErr w:type="spellEnd"/>
      <w:r>
        <w:rPr>
          <w:lang w:val="en-US"/>
        </w:rPr>
        <w:t>{</w:t>
      </w:r>
      <w:r>
        <w:rPr>
          <w:color w:val="000000"/>
        </w:rPr>
        <w:t>betts2000exchange</w:t>
      </w:r>
      <w:r>
        <w:rPr>
          <w:lang w:val="en-US"/>
        </w:rPr>
        <w:t>} and \</w:t>
      </w:r>
      <w:proofErr w:type="spellStart"/>
      <w:r>
        <w:rPr>
          <w:lang w:val="en-US"/>
        </w:rPr>
        <w:t>textcite</w:t>
      </w:r>
      <w:proofErr w:type="spellEnd"/>
      <w:r>
        <w:rPr>
          <w:lang w:val="en-US"/>
        </w:rPr>
        <w:t>{</w:t>
      </w:r>
      <w:r>
        <w:rPr>
          <w:color w:val="000000"/>
        </w:rPr>
        <w:t>devereux2003monetary</w:t>
      </w:r>
      <w:r>
        <w:rPr>
          <w:lang w:val="en-US"/>
        </w:rPr>
        <w:t xml:space="preserve">}, currency pricing decisions have </w:t>
      </w:r>
      <w:r w:rsidR="005654A9">
        <w:rPr>
          <w:lang w:val="en-US"/>
        </w:rPr>
        <w:t xml:space="preserve">implications for the frequency of price changes </w:t>
      </w:r>
      <w:r w:rsidR="00B4675B">
        <w:rPr>
          <w:lang w:val="en-US"/>
        </w:rPr>
        <w:t>and degree of pass-through. A study of US import transactions by \</w:t>
      </w:r>
      <w:proofErr w:type="spellStart"/>
      <w:r w:rsidR="00B4675B">
        <w:rPr>
          <w:lang w:val="en-US"/>
        </w:rPr>
        <w:t>textcite</w:t>
      </w:r>
      <w:proofErr w:type="spellEnd"/>
      <w:r w:rsidR="00B4675B">
        <w:rPr>
          <w:lang w:val="en-US"/>
        </w:rPr>
        <w:t>{</w:t>
      </w:r>
      <w:r w:rsidR="00B4675B">
        <w:rPr>
          <w:color w:val="000000"/>
        </w:rPr>
        <w:t>gopinath2010currency</w:t>
      </w:r>
      <w:r w:rsidR="00B4675B">
        <w:rPr>
          <w:lang w:val="en-US"/>
        </w:rPr>
        <w:t xml:space="preserve">} showed large differences in pass-through between goods priced in Dollars and non-Dollar currencies, with the latter showing higher responses to exchange rate changes even at long horizons. The authors find a strong positive correlation between the share of PCP imports from a partner and the </w:t>
      </w:r>
      <w:r w:rsidR="00B4675B">
        <w:rPr>
          <w:lang w:val="en-US"/>
        </w:rPr>
        <w:lastRenderedPageBreak/>
        <w:t xml:space="preserve">country’s average bilateral pass-through into US import </w:t>
      </w:r>
      <w:proofErr w:type="gramStart"/>
      <w:r w:rsidR="00B4675B">
        <w:rPr>
          <w:lang w:val="en-US"/>
        </w:rPr>
        <w:t>prices</w:t>
      </w:r>
      <w:r w:rsidR="005E6804">
        <w:rPr>
          <w:lang w:val="en-US"/>
        </w:rPr>
        <w:t>, and</w:t>
      </w:r>
      <w:proofErr w:type="gramEnd"/>
      <w:r w:rsidR="005E6804">
        <w:rPr>
          <w:lang w:val="en-US"/>
        </w:rPr>
        <w:t xml:space="preserve"> point to similar dynamics as those in \</w:t>
      </w:r>
      <w:proofErr w:type="spellStart"/>
      <w:r w:rsidR="005E6804">
        <w:rPr>
          <w:lang w:val="en-US"/>
        </w:rPr>
        <w:t>textcite</w:t>
      </w:r>
      <w:proofErr w:type="spellEnd"/>
      <w:r w:rsidR="005E6804">
        <w:rPr>
          <w:lang w:val="en-US"/>
        </w:rPr>
        <w:t>{</w:t>
      </w:r>
      <w:r w:rsidR="005E6804">
        <w:rPr>
          <w:color w:val="000000"/>
        </w:rPr>
        <w:t>dornbusch1985exchange</w:t>
      </w:r>
      <w:r w:rsidR="005E6804">
        <w:rPr>
          <w:lang w:val="en-US"/>
        </w:rPr>
        <w:t>} and \</w:t>
      </w:r>
      <w:proofErr w:type="spellStart"/>
      <w:r w:rsidR="005E6804">
        <w:rPr>
          <w:lang w:val="en-US"/>
        </w:rPr>
        <w:t>textcite</w:t>
      </w:r>
      <w:proofErr w:type="spellEnd"/>
      <w:r w:rsidR="005E6804">
        <w:rPr>
          <w:lang w:val="en-US"/>
        </w:rPr>
        <w:t xml:space="preserve">{krugman1986} to </w:t>
      </w:r>
      <w:r w:rsidR="00FF7D33">
        <w:rPr>
          <w:lang w:val="en-US"/>
        </w:rPr>
        <w:t xml:space="preserve">explain persistent differences in pass-through between LCP and PCP imports. </w:t>
      </w:r>
    </w:p>
    <w:p w14:paraId="2944B095" w14:textId="77777777" w:rsidR="003D2A2C" w:rsidRDefault="003D2A2C">
      <w:pPr>
        <w:rPr>
          <w:lang w:val="en-US"/>
        </w:rPr>
      </w:pPr>
    </w:p>
    <w:p w14:paraId="1C70F6DF" w14:textId="4EC4AEE5" w:rsidR="003F616A" w:rsidRDefault="00DD1051">
      <w:pPr>
        <w:rPr>
          <w:lang w:val="en-US"/>
        </w:rPr>
      </w:pPr>
      <w:r>
        <w:rPr>
          <w:lang w:val="en-US"/>
        </w:rPr>
        <w:t xml:space="preserve">Empirical investigations into ERPT shows import invoicing to be a mix of PCP and LCP.  </w:t>
      </w:r>
      <w:r w:rsidR="00D64F0A">
        <w:rPr>
          <w:lang w:val="en-US"/>
        </w:rPr>
        <w:t>Across 25 OECD countries, \</w:t>
      </w:r>
      <w:proofErr w:type="spellStart"/>
      <w:r w:rsidR="00D64F0A">
        <w:rPr>
          <w:lang w:val="en-US"/>
        </w:rPr>
        <w:t>textcite</w:t>
      </w:r>
      <w:proofErr w:type="spellEnd"/>
      <w:r w:rsidR="00D64F0A">
        <w:rPr>
          <w:lang w:val="en-US"/>
        </w:rPr>
        <w:t>{</w:t>
      </w:r>
      <w:r w:rsidR="00D64F0A">
        <w:rPr>
          <w:color w:val="000000"/>
        </w:rPr>
        <w:t>campa2005exchange</w:t>
      </w:r>
      <w:r w:rsidR="00D64F0A">
        <w:rPr>
          <w:lang w:val="en-US"/>
        </w:rPr>
        <w:t xml:space="preserve">} </w:t>
      </w:r>
      <w:r w:rsidR="00B84CE1">
        <w:rPr>
          <w:lang w:val="en-US"/>
        </w:rPr>
        <w:t>use a multivariate OLS controlling for costs and demand</w:t>
      </w:r>
      <w:r w:rsidR="00FB39B6">
        <w:rPr>
          <w:lang w:val="en-US"/>
        </w:rPr>
        <w:t xml:space="preserve"> factors</w:t>
      </w:r>
      <w:r w:rsidR="00823225">
        <w:rPr>
          <w:lang w:val="en-US"/>
        </w:rPr>
        <w:t xml:space="preserve"> instead of </w:t>
      </w:r>
      <w:r w:rsidR="009F61E0">
        <w:rPr>
          <w:lang w:val="en-US"/>
        </w:rPr>
        <w:t>simply</w:t>
      </w:r>
      <w:r w:rsidR="00823225">
        <w:rPr>
          <w:lang w:val="en-US"/>
        </w:rPr>
        <w:t xml:space="preserve"> </w:t>
      </w:r>
      <w:r w:rsidR="009F61E0">
        <w:rPr>
          <w:lang w:val="en-US"/>
        </w:rPr>
        <w:t>measuring the</w:t>
      </w:r>
      <w:r w:rsidR="00823225">
        <w:rPr>
          <w:lang w:val="en-US"/>
        </w:rPr>
        <w:t xml:space="preserve"> </w:t>
      </w:r>
      <w:r w:rsidR="009F61E0">
        <w:rPr>
          <w:lang w:val="en-US"/>
        </w:rPr>
        <w:t xml:space="preserve">effect of the </w:t>
      </w:r>
      <w:r w:rsidR="00823225">
        <w:rPr>
          <w:lang w:val="en-US"/>
        </w:rPr>
        <w:t>change in the exchange rate</w:t>
      </w:r>
      <w:r w:rsidR="00B84CE1">
        <w:rPr>
          <w:lang w:val="en-US"/>
        </w:rPr>
        <w:t xml:space="preserve"> </w:t>
      </w:r>
      <w:r w:rsidR="009F61E0">
        <w:rPr>
          <w:lang w:val="en-US"/>
        </w:rPr>
        <w:t>on import prices. They</w:t>
      </w:r>
      <w:r w:rsidR="00B84CE1">
        <w:rPr>
          <w:lang w:val="en-US"/>
        </w:rPr>
        <w:t xml:space="preserve"> </w:t>
      </w:r>
      <w:r w:rsidR="00D64F0A">
        <w:rPr>
          <w:lang w:val="en-US"/>
        </w:rPr>
        <w:t xml:space="preserve">found the average pass-through of exchange rate to import prices to be about 0.6 after a </w:t>
      </w:r>
      <w:r w:rsidR="00DF5547">
        <w:rPr>
          <w:lang w:val="en-US"/>
        </w:rPr>
        <w:t>quarter and 0.7</w:t>
      </w:r>
      <w:r w:rsidR="00B84CE1">
        <w:rPr>
          <w:lang w:val="en-US"/>
        </w:rPr>
        <w:t>5 after a year</w:t>
      </w:r>
      <w:r w:rsidR="009F61E0">
        <w:rPr>
          <w:lang w:val="en-US"/>
        </w:rPr>
        <w:t>, although these values differ across cou</w:t>
      </w:r>
      <w:r>
        <w:rPr>
          <w:lang w:val="en-US"/>
        </w:rPr>
        <w:t>nt</w:t>
      </w:r>
      <w:r w:rsidR="009F61E0">
        <w:rPr>
          <w:lang w:val="en-US"/>
        </w:rPr>
        <w:t xml:space="preserve">ries. </w:t>
      </w:r>
      <w:r w:rsidR="00BA32C6">
        <w:rPr>
          <w:lang w:val="en-US"/>
        </w:rPr>
        <w:t>\</w:t>
      </w:r>
      <w:proofErr w:type="spellStart"/>
      <w:proofErr w:type="gramStart"/>
      <w:r w:rsidR="00BA32C6">
        <w:rPr>
          <w:lang w:val="en-US"/>
        </w:rPr>
        <w:t>textcite</w:t>
      </w:r>
      <w:proofErr w:type="spellEnd"/>
      <w:proofErr w:type="gramEnd"/>
      <w:r w:rsidR="00BA32C6">
        <w:rPr>
          <w:lang w:val="en-US"/>
        </w:rPr>
        <w:t>{</w:t>
      </w:r>
      <w:r w:rsidR="00F04AC7">
        <w:rPr>
          <w:color w:val="000000"/>
        </w:rPr>
        <w:t>colavecchio2019non</w:t>
      </w:r>
      <w:r w:rsidR="00BA32C6">
        <w:rPr>
          <w:lang w:val="en-US"/>
        </w:rPr>
        <w:t>}</w:t>
      </w:r>
      <w:r w:rsidR="00F04AC7">
        <w:rPr>
          <w:lang w:val="en-US"/>
        </w:rPr>
        <w:t xml:space="preserve"> use linear projection models to investigate ERPT to import prices in the Euro area between 1997 and 2019, finding</w:t>
      </w:r>
      <w:r w:rsidR="00645131">
        <w:rPr>
          <w:lang w:val="en-US"/>
        </w:rPr>
        <w:t xml:space="preserve"> an average pass-through of 0.20 after one quarter and 0.33 after a year, with non-linear effects of magnitude found, but no difference in ERPT between appreciations and deprecations. A handful of studies have examined ERPT to import prices in South Africa, with \</w:t>
      </w:r>
      <w:proofErr w:type="spellStart"/>
      <w:r w:rsidR="00645131">
        <w:rPr>
          <w:lang w:val="en-US"/>
        </w:rPr>
        <w:t>texcite</w:t>
      </w:r>
      <w:proofErr w:type="spellEnd"/>
      <w:r w:rsidR="00645131">
        <w:rPr>
          <w:lang w:val="en-US"/>
        </w:rPr>
        <w:t>{</w:t>
      </w:r>
      <w:r w:rsidR="00645131">
        <w:rPr>
          <w:color w:val="000000"/>
        </w:rPr>
        <w:t>aronetal2012</w:t>
      </w:r>
      <w:r w:rsidR="00645131">
        <w:rPr>
          <w:lang w:val="en-US"/>
        </w:rPr>
        <w:t xml:space="preserve">} employing the approach used by </w:t>
      </w:r>
      <w:r w:rsidR="00645131">
        <w:rPr>
          <w:lang w:val="en-US"/>
        </w:rPr>
        <w:t>\</w:t>
      </w:r>
      <w:proofErr w:type="spellStart"/>
      <w:r w:rsidR="00645131">
        <w:rPr>
          <w:lang w:val="en-US"/>
        </w:rPr>
        <w:t>textcite</w:t>
      </w:r>
      <w:proofErr w:type="spellEnd"/>
      <w:r w:rsidR="00645131">
        <w:rPr>
          <w:lang w:val="en-US"/>
        </w:rPr>
        <w:t>{</w:t>
      </w:r>
      <w:r w:rsidR="00645131">
        <w:rPr>
          <w:color w:val="000000"/>
        </w:rPr>
        <w:t>campa2005exchange</w:t>
      </w:r>
      <w:r w:rsidR="00645131">
        <w:rPr>
          <w:lang w:val="en-US"/>
        </w:rPr>
        <w:t>}</w:t>
      </w:r>
      <w:r w:rsidR="007409B7">
        <w:rPr>
          <w:lang w:val="en-US"/>
        </w:rPr>
        <w:t xml:space="preserve"> along with single- and multi-equation error correction models</w:t>
      </w:r>
      <w:r w:rsidR="00645131">
        <w:rPr>
          <w:lang w:val="en-US"/>
        </w:rPr>
        <w:t xml:space="preserve">, finding </w:t>
      </w:r>
      <w:r w:rsidR="007409B7">
        <w:rPr>
          <w:lang w:val="en-US"/>
        </w:rPr>
        <w:t>pass-through to import prices to be around 0.43-0.5 after a year, though this estimation was lower in the second part of the full sample</w:t>
      </w:r>
      <w:r w:rsidR="007144F7">
        <w:rPr>
          <w:lang w:val="en-US"/>
        </w:rPr>
        <w:t xml:space="preserve">. </w:t>
      </w:r>
      <w:r w:rsidR="00D452C2">
        <w:rPr>
          <w:lang w:val="en-US"/>
        </w:rPr>
        <w:t>Other studies on South Africa employing single-equation error-correction models found very high pass-through coefficients to import prices between 0.75</w:t>
      </w:r>
      <w:r w:rsidR="007144F7">
        <w:rPr>
          <w:lang w:val="en-US"/>
        </w:rPr>
        <w:t xml:space="preserve"> </w:t>
      </w:r>
      <w:r w:rsidR="00D452C2">
        <w:rPr>
          <w:lang w:val="en-US"/>
        </w:rPr>
        <w:t>and 0.93</w:t>
      </w:r>
      <w:r w:rsidR="0078372E">
        <w:rPr>
          <w:lang w:val="en-US"/>
        </w:rPr>
        <w:t xml:space="preserve"> </w:t>
      </w:r>
      <w:r w:rsidR="007144F7">
        <w:rPr>
          <w:lang w:val="en-US"/>
        </w:rPr>
        <w:t>\</w:t>
      </w:r>
      <w:proofErr w:type="gramStart"/>
      <w:r w:rsidR="007144F7">
        <w:rPr>
          <w:lang w:val="en-US"/>
        </w:rPr>
        <w:t>cite{</w:t>
      </w:r>
      <w:proofErr w:type="gramEnd"/>
      <w:r w:rsidR="0078372E">
        <w:rPr>
          <w:color w:val="000000"/>
        </w:rPr>
        <w:t>Karoroetal2008</w:t>
      </w:r>
      <w:r w:rsidR="0078372E">
        <w:rPr>
          <w:lang w:val="en-US"/>
        </w:rPr>
        <w:t xml:space="preserve">, </w:t>
      </w:r>
      <w:r w:rsidR="0078372E">
        <w:rPr>
          <w:color w:val="000000"/>
        </w:rPr>
        <w:t>kabundi2016exchange</w:t>
      </w:r>
      <w:r w:rsidR="007144F7">
        <w:rPr>
          <w:lang w:val="en-US"/>
        </w:rPr>
        <w:t>}</w:t>
      </w:r>
      <w:r w:rsidR="00D452C2">
        <w:rPr>
          <w:lang w:val="en-US"/>
        </w:rPr>
        <w:t>.</w:t>
      </w:r>
      <w:r w:rsidR="000F5B0A">
        <w:rPr>
          <w:lang w:val="en-US"/>
        </w:rPr>
        <w:t xml:space="preserve"> </w:t>
      </w:r>
    </w:p>
    <w:p w14:paraId="01BD11F8" w14:textId="77777777" w:rsidR="00770282" w:rsidRDefault="00770282">
      <w:pPr>
        <w:rPr>
          <w:lang w:val="en-US"/>
        </w:rPr>
      </w:pPr>
    </w:p>
    <w:p w14:paraId="558CD39D" w14:textId="7B1CC775" w:rsidR="00FC0D86" w:rsidRDefault="00D41F41">
      <w:pPr>
        <w:rPr>
          <w:color w:val="000000"/>
        </w:rPr>
      </w:pPr>
      <w:r>
        <w:rPr>
          <w:lang w:val="en-US"/>
        </w:rPr>
        <w:t>\</w:t>
      </w:r>
      <w:proofErr w:type="spellStart"/>
      <w:proofErr w:type="gramStart"/>
      <w:r>
        <w:rPr>
          <w:lang w:val="en-US"/>
        </w:rPr>
        <w:t>textcite</w:t>
      </w:r>
      <w:proofErr w:type="spellEnd"/>
      <w:proofErr w:type="gramEnd"/>
      <w:r>
        <w:rPr>
          <w:lang w:val="en-US"/>
        </w:rPr>
        <w:t>{</w:t>
      </w:r>
      <w:r>
        <w:rPr>
          <w:color w:val="000000"/>
        </w:rPr>
        <w:t>mccarthy1999</w:t>
      </w:r>
      <w:r>
        <w:rPr>
          <w:lang w:val="en-US"/>
        </w:rPr>
        <w:t>}</w:t>
      </w:r>
      <w:r w:rsidR="004D3AD3">
        <w:rPr>
          <w:lang w:val="en-US"/>
        </w:rPr>
        <w:t xml:space="preserve"> </w:t>
      </w:r>
      <w:proofErr w:type="spellStart"/>
      <w:r>
        <w:rPr>
          <w:lang w:val="en-US"/>
        </w:rPr>
        <w:t>conceptualised</w:t>
      </w:r>
      <w:proofErr w:type="spellEnd"/>
      <w:r>
        <w:rPr>
          <w:lang w:val="en-US"/>
        </w:rPr>
        <w:t xml:space="preserve"> a multi-equation model</w:t>
      </w:r>
      <w:r w:rsidR="003C56F8">
        <w:rPr>
          <w:lang w:val="en-US"/>
        </w:rPr>
        <w:t xml:space="preserve"> with a Cholesky </w:t>
      </w:r>
      <w:r w:rsidR="00FD3838">
        <w:rPr>
          <w:lang w:val="en-US"/>
        </w:rPr>
        <w:t>decomposition</w:t>
      </w:r>
      <w:r>
        <w:rPr>
          <w:lang w:val="en-US"/>
        </w:rPr>
        <w:t xml:space="preserve"> to estimate ERPT. Using the residuals of exchange rate movement regressed on </w:t>
      </w:r>
      <w:r w:rsidR="002F6C64">
        <w:rPr>
          <w:lang w:val="en-US"/>
        </w:rPr>
        <w:t xml:space="preserve">supply and demand surprises to remove some endogeneity, </w:t>
      </w:r>
      <w:r w:rsidR="00FD3838">
        <w:rPr>
          <w:lang w:val="en-US"/>
        </w:rPr>
        <w:t>the ERPT onto import, PPI and CPI are subsequently measures one after the other.  T</w:t>
      </w:r>
      <w:r w:rsidR="002F6C64">
        <w:rPr>
          <w:lang w:val="en-US"/>
        </w:rPr>
        <w:t xml:space="preserve">he </w:t>
      </w:r>
      <w:r w:rsidR="00F21476">
        <w:rPr>
          <w:lang w:val="en-US"/>
        </w:rPr>
        <w:t xml:space="preserve">paper </w:t>
      </w:r>
      <w:r w:rsidR="00FD3838">
        <w:rPr>
          <w:lang w:val="en-US"/>
        </w:rPr>
        <w:t>indicates</w:t>
      </w:r>
      <w:r w:rsidR="00F21476">
        <w:rPr>
          <w:lang w:val="en-US"/>
        </w:rPr>
        <w:t xml:space="preserve"> </w:t>
      </w:r>
      <w:r w:rsidR="00FD3838">
        <w:rPr>
          <w:lang w:val="en-US"/>
        </w:rPr>
        <w:t>shows</w:t>
      </w:r>
      <w:r w:rsidR="00F21476">
        <w:rPr>
          <w:lang w:val="en-US"/>
        </w:rPr>
        <w:t xml:space="preserve"> decreases in import prices after a 1\% exchange rate depreciation, although this is found to decrease and become less precise after a year. A similar response of import prices to exchange rate changes </w:t>
      </w:r>
      <w:r w:rsidR="00A6143F">
        <w:rPr>
          <w:lang w:val="en-US"/>
        </w:rPr>
        <w:t xml:space="preserve">among G-7 countries </w:t>
      </w:r>
      <w:r w:rsidR="00F21476">
        <w:rPr>
          <w:lang w:val="en-US"/>
        </w:rPr>
        <w:t>is reported in \</w:t>
      </w:r>
      <w:proofErr w:type="spellStart"/>
      <w:r w:rsidR="00F21476">
        <w:rPr>
          <w:lang w:val="en-US"/>
        </w:rPr>
        <w:t>textcite</w:t>
      </w:r>
      <w:proofErr w:type="spellEnd"/>
      <w:r w:rsidR="00F21476">
        <w:rPr>
          <w:lang w:val="en-US"/>
        </w:rPr>
        <w:t>{</w:t>
      </w:r>
      <w:r w:rsidR="00A6143F">
        <w:rPr>
          <w:color w:val="000000"/>
        </w:rPr>
        <w:t>choudhri2005explaining</w:t>
      </w:r>
      <w:r w:rsidR="00A6143F">
        <w:rPr>
          <w:color w:val="000000"/>
        </w:rPr>
        <w:t xml:space="preserve">}, which finds strong initial responses of import prices, which decline after a year, creating a hump-shaped response curve. In a subsequent paper, </w:t>
      </w:r>
      <w:r w:rsidR="00A6143F">
        <w:rPr>
          <w:color w:val="000000"/>
        </w:rPr>
        <w:t>\</w:t>
      </w:r>
      <w:proofErr w:type="spellStart"/>
      <w:r w:rsidR="00A6143F">
        <w:rPr>
          <w:color w:val="000000"/>
        </w:rPr>
        <w:t>textcite</w:t>
      </w:r>
      <w:proofErr w:type="spellEnd"/>
      <w:r w:rsidR="00A6143F">
        <w:rPr>
          <w:color w:val="000000"/>
        </w:rPr>
        <w:t>{choudhri2015exchange}</w:t>
      </w:r>
      <w:r w:rsidR="00A6143F">
        <w:rPr>
          <w:color w:val="000000"/>
        </w:rPr>
        <w:t xml:space="preserve"> estimate first-quarter pass-through for a variety of countries including South Africa, finding ERPT to be 0.31, with estimates in the second half of the sample (1998- 2010) to be higher than in the preceding twelve years (0.38 vs 0.2).</w:t>
      </w:r>
      <w:r w:rsidR="00281A36">
        <w:rPr>
          <w:color w:val="000000"/>
        </w:rPr>
        <w:t xml:space="preserve"> </w:t>
      </w:r>
      <w:r w:rsidR="003C56F8">
        <w:rPr>
          <w:color w:val="000000"/>
        </w:rPr>
        <w:t>Studying ERPT into the Euro area using this methodology, \</w:t>
      </w:r>
      <w:proofErr w:type="spellStart"/>
      <w:r w:rsidR="003C56F8">
        <w:rPr>
          <w:color w:val="000000"/>
        </w:rPr>
        <w:t>textcite</w:t>
      </w:r>
      <w:proofErr w:type="spellEnd"/>
      <w:r w:rsidR="003C56F8">
        <w:rPr>
          <w:color w:val="000000"/>
        </w:rPr>
        <w:t>{</w:t>
      </w:r>
      <w:r w:rsidR="003C56F8">
        <w:rPr>
          <w:color w:val="000000"/>
        </w:rPr>
        <w:t>hahn2003</w:t>
      </w:r>
      <w:r w:rsidR="003C56F8">
        <w:rPr>
          <w:color w:val="000000"/>
        </w:rPr>
        <w:t xml:space="preserve">} found non-oil import prices to be 20% higher after one quarter and 50% after three, with little </w:t>
      </w:r>
      <w:r w:rsidR="003C56F8">
        <w:rPr>
          <w:color w:val="000000"/>
        </w:rPr>
        <w:lastRenderedPageBreak/>
        <w:t>change in subsequent quarters. \</w:t>
      </w:r>
      <w:proofErr w:type="spellStart"/>
      <w:r w:rsidR="003C56F8">
        <w:rPr>
          <w:color w:val="000000"/>
        </w:rPr>
        <w:t>textcite</w:t>
      </w:r>
      <w:proofErr w:type="spellEnd"/>
      <w:r w:rsidR="003C56F8">
        <w:rPr>
          <w:color w:val="000000"/>
        </w:rPr>
        <w:t>{</w:t>
      </w:r>
      <w:r w:rsidR="00453219">
        <w:rPr>
          <w:color w:val="000000"/>
        </w:rPr>
        <w:t>comunale2017erpt</w:t>
      </w:r>
      <w:r w:rsidR="003C56F8">
        <w:rPr>
          <w:color w:val="000000"/>
        </w:rPr>
        <w:t xml:space="preserve">} </w:t>
      </w:r>
      <w:r w:rsidR="00453219">
        <w:rPr>
          <w:color w:val="000000"/>
        </w:rPr>
        <w:t>augment the structure proposed by \</w:t>
      </w:r>
      <w:proofErr w:type="spellStart"/>
      <w:r w:rsidR="00453219">
        <w:rPr>
          <w:color w:val="000000"/>
        </w:rPr>
        <w:t>textcite</w:t>
      </w:r>
      <w:proofErr w:type="spellEnd"/>
      <w:r w:rsidR="00453219">
        <w:rPr>
          <w:color w:val="000000"/>
        </w:rPr>
        <w:t>{mccarthy1999} with a Bayesian specification</w:t>
      </w:r>
      <w:r w:rsidR="00FD3838">
        <w:rPr>
          <w:color w:val="000000"/>
        </w:rPr>
        <w:t xml:space="preserve"> and sign restrictions based on \</w:t>
      </w:r>
      <w:proofErr w:type="spellStart"/>
      <w:r w:rsidR="00FD3838">
        <w:rPr>
          <w:color w:val="000000"/>
        </w:rPr>
        <w:t>textcite</w:t>
      </w:r>
      <w:proofErr w:type="spellEnd"/>
      <w:r w:rsidR="00FD3838">
        <w:rPr>
          <w:color w:val="000000"/>
        </w:rPr>
        <w:t>{</w:t>
      </w:r>
      <w:r w:rsidR="009C5CF6">
        <w:rPr>
          <w:color w:val="000000"/>
        </w:rPr>
        <w:t>an2012exchange</w:t>
      </w:r>
      <w:r w:rsidR="00FD3838">
        <w:rPr>
          <w:color w:val="000000"/>
        </w:rPr>
        <w:t>}</w:t>
      </w:r>
      <w:r w:rsidR="00453219">
        <w:rPr>
          <w:color w:val="000000"/>
        </w:rPr>
        <w:t>, reporting 80% pass-through to imports after a year using data from 1992 to 2016</w:t>
      </w:r>
      <w:r w:rsidR="000B7AB6">
        <w:rPr>
          <w:color w:val="000000"/>
        </w:rPr>
        <w:t xml:space="preserve">, although a richer model allows the authors to analyse the differences between different types of shocks. </w:t>
      </w:r>
    </w:p>
    <w:p w14:paraId="61F2CD1B" w14:textId="77777777" w:rsidR="00B76677" w:rsidRDefault="00B76677">
      <w:pPr>
        <w:rPr>
          <w:color w:val="000000"/>
        </w:rPr>
      </w:pPr>
    </w:p>
    <w:p w14:paraId="64D79B52" w14:textId="2577BB90" w:rsidR="00D41F41" w:rsidRDefault="00B76677">
      <w:pPr>
        <w:rPr>
          <w:color w:val="000000"/>
        </w:rPr>
      </w:pPr>
      <w:r>
        <w:rPr>
          <w:color w:val="000000"/>
        </w:rPr>
        <w:t xml:space="preserve">The use of </w:t>
      </w:r>
      <w:r w:rsidR="009C5CF6">
        <w:rPr>
          <w:color w:val="000000"/>
        </w:rPr>
        <w:t xml:space="preserve">such a methodology </w:t>
      </w:r>
      <w:r w:rsidR="00D703DA">
        <w:rPr>
          <w:color w:val="000000"/>
        </w:rPr>
        <w:t xml:space="preserve">is advantageous not only in its incorporation of dynamic relationships between variables, but also because it allows for the analysis of how downstream prices are affected by exchange rate shocks. </w:t>
      </w:r>
      <w:r w:rsidR="005850CA">
        <w:rPr>
          <w:color w:val="000000"/>
        </w:rPr>
        <w:t>Local transaction and distribution costs as well as differences in market structures facing firms at each point in the distribution chain</w:t>
      </w:r>
      <w:r w:rsidR="00F17D1B">
        <w:rPr>
          <w:color w:val="000000"/>
        </w:rPr>
        <w:t xml:space="preserve"> can cause deviations </w:t>
      </w:r>
      <w:r w:rsidR="00321900">
        <w:rPr>
          <w:color w:val="000000"/>
        </w:rPr>
        <w:t xml:space="preserve">in </w:t>
      </w:r>
      <w:r w:rsidR="00F17D1B">
        <w:rPr>
          <w:color w:val="000000"/>
        </w:rPr>
        <w:t>final</w:t>
      </w:r>
      <w:r w:rsidR="00321900">
        <w:rPr>
          <w:color w:val="000000"/>
        </w:rPr>
        <w:t xml:space="preserve"> consumer price indices from exchange rate movements</w:t>
      </w:r>
      <w:r w:rsidR="00F17D1B">
        <w:rPr>
          <w:color w:val="000000"/>
        </w:rPr>
        <w:t>. \</w:t>
      </w:r>
      <w:proofErr w:type="spellStart"/>
      <w:r w:rsidR="00F17D1B">
        <w:rPr>
          <w:color w:val="000000"/>
        </w:rPr>
        <w:t>textcite</w:t>
      </w:r>
      <w:proofErr w:type="spellEnd"/>
      <w:r w:rsidR="00F17D1B">
        <w:rPr>
          <w:color w:val="000000"/>
        </w:rPr>
        <w:t>{</w:t>
      </w:r>
      <w:r w:rsidR="00F17D1B">
        <w:rPr>
          <w:color w:val="000000"/>
        </w:rPr>
        <w:t>burstein2003distribution</w:t>
      </w:r>
      <w:r w:rsidR="00F17D1B">
        <w:rPr>
          <w:color w:val="000000"/>
        </w:rPr>
        <w:t>} showed substantial distribution margins  in the US and Argentina, while \</w:t>
      </w:r>
      <w:proofErr w:type="spellStart"/>
      <w:r w:rsidR="00F17D1B">
        <w:rPr>
          <w:color w:val="000000"/>
        </w:rPr>
        <w:t>textcite</w:t>
      </w:r>
      <w:proofErr w:type="spellEnd"/>
      <w:r w:rsidR="00F17D1B">
        <w:rPr>
          <w:color w:val="000000"/>
        </w:rPr>
        <w:t>{</w:t>
      </w:r>
      <w:r w:rsidR="00F17D1B">
        <w:rPr>
          <w:color w:val="000000"/>
        </w:rPr>
        <w:t>goldberg2010sensitivity</w:t>
      </w:r>
      <w:r w:rsidR="00F17D1B">
        <w:rPr>
          <w:color w:val="000000"/>
        </w:rPr>
        <w:t>}</w:t>
      </w:r>
      <w:r w:rsidR="00F9779A">
        <w:rPr>
          <w:color w:val="000000"/>
        </w:rPr>
        <w:t xml:space="preserve"> found that distribution margins dampened the effect of exchange rates on consumer prices across a sample of advanced economies, with the distribution costs themselves a function of the input of imported goods into the non-tradeable distributive goods or services. </w:t>
      </w:r>
      <w:r w:rsidR="00F17D1B">
        <w:rPr>
          <w:color w:val="000000"/>
        </w:rPr>
        <w:t>\</w:t>
      </w:r>
      <w:proofErr w:type="spellStart"/>
      <w:r w:rsidR="00F17D1B">
        <w:rPr>
          <w:color w:val="000000"/>
        </w:rPr>
        <w:t>textcite</w:t>
      </w:r>
      <w:proofErr w:type="spellEnd"/>
      <w:r w:rsidR="00F17D1B">
        <w:rPr>
          <w:color w:val="000000"/>
        </w:rPr>
        <w:t>{engel2002responsiveness}</w:t>
      </w:r>
      <w:r w:rsidR="009B3DED">
        <w:rPr>
          <w:color w:val="000000"/>
        </w:rPr>
        <w:t xml:space="preserve"> argues that producers face a sourcing problem between domestic and imported inputs</w:t>
      </w:r>
      <w:r w:rsidR="00DB487C">
        <w:rPr>
          <w:color w:val="000000"/>
        </w:rPr>
        <w:t xml:space="preserve">, which influences the ability of importers to pass through price changes to producers of final goods. The disconnect between ERPT to import prices and consumer prices </w:t>
      </w:r>
      <w:r w:rsidR="00321900">
        <w:rPr>
          <w:color w:val="000000"/>
        </w:rPr>
        <w:t xml:space="preserve">may also be </w:t>
      </w:r>
      <w:r w:rsidR="00DB487C">
        <w:rPr>
          <w:color w:val="000000"/>
        </w:rPr>
        <w:t xml:space="preserve">the result of </w:t>
      </w:r>
      <w:r w:rsidR="00321900">
        <w:rPr>
          <w:color w:val="000000"/>
        </w:rPr>
        <w:t>by the contribution of non</w:t>
      </w:r>
      <w:r w:rsidR="00FB54DA">
        <w:rPr>
          <w:color w:val="000000"/>
        </w:rPr>
        <w:t>-</w:t>
      </w:r>
      <w:r w:rsidR="00321900">
        <w:rPr>
          <w:color w:val="000000"/>
        </w:rPr>
        <w:t xml:space="preserve">tradables to </w:t>
      </w:r>
      <w:r w:rsidR="00FB54DA">
        <w:rPr>
          <w:color w:val="000000"/>
        </w:rPr>
        <w:t>producer and consumer baskets \</w:t>
      </w:r>
      <w:proofErr w:type="spellStart"/>
      <w:r w:rsidR="00FB54DA">
        <w:rPr>
          <w:color w:val="000000"/>
        </w:rPr>
        <w:t>textcite</w:t>
      </w:r>
      <w:proofErr w:type="spellEnd"/>
      <w:r w:rsidR="00FB54DA">
        <w:rPr>
          <w:color w:val="000000"/>
        </w:rPr>
        <w:t>{</w:t>
      </w:r>
      <w:r w:rsidR="00FB54DA">
        <w:rPr>
          <w:color w:val="000000"/>
        </w:rPr>
        <w:t>obstfeld2000new</w:t>
      </w:r>
      <w:r w:rsidR="00FB54DA">
        <w:rPr>
          <w:color w:val="000000"/>
        </w:rPr>
        <w:t>}.</w:t>
      </w:r>
      <w:r w:rsidR="004D3AD3">
        <w:rPr>
          <w:color w:val="000000"/>
        </w:rPr>
        <w:t xml:space="preserve"> </w:t>
      </w:r>
      <w:r w:rsidR="00DB487C">
        <w:rPr>
          <w:color w:val="000000"/>
        </w:rPr>
        <w:t xml:space="preserve">To the extent that </w:t>
      </w:r>
      <w:r w:rsidR="00A66759">
        <w:rPr>
          <w:color w:val="000000"/>
        </w:rPr>
        <w:t xml:space="preserve">two countries differ only in their degree of self-sufficiency, </w:t>
      </w:r>
      <w:r w:rsidR="00EC46D7">
        <w:rPr>
          <w:color w:val="000000"/>
        </w:rPr>
        <w:t xml:space="preserve">the more self-sufficient country will have lower pass-through to consumer prices. </w:t>
      </w:r>
    </w:p>
    <w:p w14:paraId="0B4BE195" w14:textId="77777777" w:rsidR="000F5B0A" w:rsidRDefault="000F5B0A">
      <w:pPr>
        <w:rPr>
          <w:color w:val="000000"/>
        </w:rPr>
      </w:pPr>
    </w:p>
    <w:p w14:paraId="6C64824E" w14:textId="66BC2FB4" w:rsidR="000F5B0A" w:rsidRDefault="00A93221">
      <w:pPr>
        <w:rPr>
          <w:color w:val="000000"/>
        </w:rPr>
      </w:pPr>
      <w:r>
        <w:rPr>
          <w:color w:val="000000"/>
        </w:rPr>
        <w:t>Empirical evidence of dampened pass-through from import prices to consumer prices. \</w:t>
      </w:r>
      <w:proofErr w:type="spellStart"/>
      <w:r>
        <w:rPr>
          <w:color w:val="000000"/>
        </w:rPr>
        <w:t>textcite</w:t>
      </w:r>
      <w:proofErr w:type="spellEnd"/>
      <w:r>
        <w:rPr>
          <w:color w:val="000000"/>
        </w:rPr>
        <w:t>{</w:t>
      </w:r>
      <w:r>
        <w:rPr>
          <w:color w:val="000000"/>
        </w:rPr>
        <w:t>mccarthy1999</w:t>
      </w:r>
      <w:r>
        <w:rPr>
          <w:color w:val="000000"/>
        </w:rPr>
        <w:t xml:space="preserve">} </w:t>
      </w:r>
      <w:r w:rsidR="0009463F">
        <w:rPr>
          <w:color w:val="000000"/>
        </w:rPr>
        <w:t xml:space="preserve">found lower pass-through across the nine country sample and showed that the contribution of modelled variables  to the variance decreased from import prices to PPI and CPI, demonstrating the increasing primacy of other factors in determining latter prices. </w:t>
      </w:r>
      <w:r w:rsidR="00B7411A">
        <w:rPr>
          <w:color w:val="000000"/>
        </w:rPr>
        <w:t>In the variance decomposition for prices, \</w:t>
      </w:r>
      <w:proofErr w:type="spellStart"/>
      <w:r w:rsidR="00B7411A">
        <w:rPr>
          <w:color w:val="000000"/>
        </w:rPr>
        <w:t>textcite</w:t>
      </w:r>
      <w:proofErr w:type="spellEnd"/>
      <w:r w:rsidR="00B7411A">
        <w:rPr>
          <w:color w:val="000000"/>
        </w:rPr>
        <w:t xml:space="preserve">{hahn2003} finds oil shocks to be the most important contributing factor to the variance, with the contribution of exchange rate shocks to variance falling from around 15\% after a year and a half for import prices, and decreasing to between 5\%  and 10\% </w:t>
      </w:r>
      <w:r w:rsidR="00BE3F7A">
        <w:rPr>
          <w:color w:val="000000"/>
        </w:rPr>
        <w:t xml:space="preserve">over the same timeframe for consumer prices. </w:t>
      </w:r>
      <w:r w:rsidR="006112D0">
        <w:rPr>
          <w:color w:val="000000"/>
        </w:rPr>
        <w:t xml:space="preserve">PPI and CPI curves are found to be more muted </w:t>
      </w:r>
      <w:r w:rsidR="00B7411A">
        <w:rPr>
          <w:color w:val="000000"/>
        </w:rPr>
        <w:t>in the model specifications by \</w:t>
      </w:r>
      <w:proofErr w:type="spellStart"/>
      <w:r w:rsidR="00B7411A">
        <w:rPr>
          <w:color w:val="000000"/>
        </w:rPr>
        <w:t>textcite</w:t>
      </w:r>
      <w:proofErr w:type="spellEnd"/>
      <w:r w:rsidR="00B7411A">
        <w:rPr>
          <w:color w:val="000000"/>
        </w:rPr>
        <w:t>{</w:t>
      </w:r>
      <w:r w:rsidR="00B7411A">
        <w:rPr>
          <w:color w:val="000000"/>
        </w:rPr>
        <w:t>choudhri2005explaining</w:t>
      </w:r>
      <w:r w:rsidR="00B7411A">
        <w:rPr>
          <w:color w:val="000000"/>
        </w:rPr>
        <w:t xml:space="preserve">} and lower ERPT estimates are reported </w:t>
      </w:r>
      <w:r w:rsidR="00F3224C">
        <w:rPr>
          <w:color w:val="000000"/>
        </w:rPr>
        <w:t xml:space="preserve">for PPI and CPI </w:t>
      </w:r>
      <w:r w:rsidR="00B7411A">
        <w:rPr>
          <w:color w:val="000000"/>
        </w:rPr>
        <w:t xml:space="preserve">in the cross-country study in </w:t>
      </w:r>
      <w:r w:rsidR="00BE3F7A">
        <w:rPr>
          <w:color w:val="000000"/>
        </w:rPr>
        <w:t>\</w:t>
      </w:r>
      <w:proofErr w:type="spellStart"/>
      <w:r w:rsidR="00BE3F7A">
        <w:rPr>
          <w:color w:val="000000"/>
        </w:rPr>
        <w:t>textcite</w:t>
      </w:r>
      <w:proofErr w:type="spellEnd"/>
      <w:r w:rsidR="00BE3F7A">
        <w:rPr>
          <w:color w:val="000000"/>
        </w:rPr>
        <w:t>{</w:t>
      </w:r>
      <w:r w:rsidR="00BE3F7A" w:rsidRPr="00B7411A">
        <w:rPr>
          <w:color w:val="000000"/>
        </w:rPr>
        <w:t xml:space="preserve"> </w:t>
      </w:r>
      <w:r w:rsidR="00BE3F7A">
        <w:rPr>
          <w:color w:val="000000"/>
        </w:rPr>
        <w:t>choudhri2005explaining</w:t>
      </w:r>
      <w:r w:rsidR="00F3224C">
        <w:rPr>
          <w:color w:val="000000"/>
        </w:rPr>
        <w:t xml:space="preserve">}. Across all of these studies, it is evident that responses occur less </w:t>
      </w:r>
      <w:r w:rsidR="00F3224C">
        <w:rPr>
          <w:color w:val="000000"/>
        </w:rPr>
        <w:lastRenderedPageBreak/>
        <w:t>rapidly and with less magnitude as one moves down the pricing chain, an analogous finding to the impact of monetary shocks reported in \</w:t>
      </w:r>
      <w:proofErr w:type="spellStart"/>
      <w:r w:rsidR="00F3224C">
        <w:rPr>
          <w:color w:val="000000"/>
        </w:rPr>
        <w:t>textcite</w:t>
      </w:r>
      <w:proofErr w:type="spellEnd"/>
      <w:r w:rsidR="00F3224C">
        <w:rPr>
          <w:color w:val="000000"/>
        </w:rPr>
        <w:t>{</w:t>
      </w:r>
      <w:r w:rsidR="00F3224C">
        <w:rPr>
          <w:color w:val="000000"/>
        </w:rPr>
        <w:t>clark1999responses</w:t>
      </w:r>
      <w:r w:rsidR="00F3224C">
        <w:rPr>
          <w:color w:val="000000"/>
        </w:rPr>
        <w:t>}. For South Africa, \</w:t>
      </w:r>
      <w:proofErr w:type="spellStart"/>
      <w:r w:rsidR="00F3224C">
        <w:rPr>
          <w:color w:val="000000"/>
        </w:rPr>
        <w:t>textcite</w:t>
      </w:r>
      <w:proofErr w:type="spellEnd"/>
      <w:r w:rsidR="00F3224C">
        <w:rPr>
          <w:color w:val="000000"/>
        </w:rPr>
        <w:t>{</w:t>
      </w:r>
      <w:r w:rsidR="00E738A7">
        <w:rPr>
          <w:color w:val="000000"/>
        </w:rPr>
        <w:t>kabundi2016exchange</w:t>
      </w:r>
      <w:r w:rsidR="00E738A7">
        <w:rPr>
          <w:color w:val="000000"/>
        </w:rPr>
        <w:t>} find the second-stage pass-through (to consumer prices) to be 36\% compared to around 90\% for first stage pass-through in their single-equation model</w:t>
      </w:r>
      <w:r w:rsidR="001D0335">
        <w:rPr>
          <w:color w:val="000000"/>
        </w:rPr>
        <w:t>, while \</w:t>
      </w:r>
      <w:proofErr w:type="spellStart"/>
      <w:r w:rsidR="001D0335">
        <w:rPr>
          <w:color w:val="000000"/>
        </w:rPr>
        <w:t>textcite</w:t>
      </w:r>
      <w:proofErr w:type="spellEnd"/>
      <w:r w:rsidR="001D0335">
        <w:rPr>
          <w:color w:val="000000"/>
        </w:rPr>
        <w:t>{</w:t>
      </w:r>
      <w:r w:rsidR="001D0335">
        <w:rPr>
          <w:color w:val="000000"/>
        </w:rPr>
        <w:t>parsley2012exchange</w:t>
      </w:r>
      <w:r w:rsidR="001D0335">
        <w:rPr>
          <w:color w:val="000000"/>
        </w:rPr>
        <w:t>} estimate ERPT to consumer prices at 14\% to 27\% in a panel specification. Unlike \</w:t>
      </w:r>
      <w:proofErr w:type="spellStart"/>
      <w:r w:rsidR="001D0335">
        <w:rPr>
          <w:color w:val="000000"/>
        </w:rPr>
        <w:t>textcite</w:t>
      </w:r>
      <w:proofErr w:type="spellEnd"/>
      <w:r w:rsidR="001D0335">
        <w:rPr>
          <w:color w:val="000000"/>
        </w:rPr>
        <w:t>{</w:t>
      </w:r>
      <w:r w:rsidR="001D0335">
        <w:rPr>
          <w:color w:val="000000"/>
        </w:rPr>
        <w:t>jooste2014determinants</w:t>
      </w:r>
      <w:r w:rsidR="001D0335">
        <w:rPr>
          <w:color w:val="000000"/>
        </w:rPr>
        <w:t xml:space="preserve">}, whose time-varying BVAR specification finds inflation </w:t>
      </w:r>
      <w:r w:rsidR="001D196A">
        <w:rPr>
          <w:color w:val="000000"/>
        </w:rPr>
        <w:t>variability to contribute to higher pass-through to consumer prices, \</w:t>
      </w:r>
      <w:proofErr w:type="spellStart"/>
      <w:r w:rsidR="001D196A">
        <w:rPr>
          <w:color w:val="000000"/>
        </w:rPr>
        <w:t>textcite</w:t>
      </w:r>
      <w:proofErr w:type="spellEnd"/>
      <w:r w:rsidR="001D196A">
        <w:rPr>
          <w:color w:val="000000"/>
        </w:rPr>
        <w:t xml:space="preserve">{parsley2012exchange} argues that observed declines in ERPT to consumer prices are the result of a changing trade composition. </w:t>
      </w:r>
    </w:p>
    <w:p w14:paraId="1A4A236A" w14:textId="77777777" w:rsidR="00A93221" w:rsidRDefault="00A93221">
      <w:pPr>
        <w:rPr>
          <w:color w:val="000000"/>
        </w:rPr>
      </w:pPr>
    </w:p>
    <w:p w14:paraId="7C8ED926" w14:textId="4BC8A950" w:rsidR="00D41F41" w:rsidRDefault="001D196A">
      <w:pPr>
        <w:rPr>
          <w:lang w:val="en-US"/>
        </w:rPr>
      </w:pPr>
      <w:r>
        <w:rPr>
          <w:color w:val="000000"/>
        </w:rPr>
        <w:t xml:space="preserve">The extensive literature on ERPT and adjacent topic enables a thorough exploration of the topic at hand. This study of ERPT to South Africa prices contributes to the literature in the following regards. Firstly, </w:t>
      </w:r>
      <w:r w:rsidR="005732EF">
        <w:rPr>
          <w:color w:val="000000"/>
        </w:rPr>
        <w:t>applying</w:t>
      </w:r>
      <w:r>
        <w:rPr>
          <w:color w:val="000000"/>
        </w:rPr>
        <w:t xml:space="preserve"> a multi-equation model to the South African context, </w:t>
      </w:r>
      <w:r w:rsidR="005732EF">
        <w:rPr>
          <w:color w:val="000000"/>
        </w:rPr>
        <w:t>in contrast to previous studies which have used simple-equation models, allows for richer dynamic analysis as previously done in \</w:t>
      </w:r>
      <w:proofErr w:type="spellStart"/>
      <w:r w:rsidR="005732EF">
        <w:rPr>
          <w:color w:val="000000"/>
        </w:rPr>
        <w:t>textcite</w:t>
      </w:r>
      <w:proofErr w:type="spellEnd"/>
      <w:r w:rsidR="005732EF">
        <w:rPr>
          <w:color w:val="000000"/>
        </w:rPr>
        <w:t>{mccarthy1999} and \</w:t>
      </w:r>
      <w:proofErr w:type="spellStart"/>
      <w:r w:rsidR="005732EF">
        <w:rPr>
          <w:color w:val="000000"/>
        </w:rPr>
        <w:t>textcite</w:t>
      </w:r>
      <w:proofErr w:type="spellEnd"/>
      <w:r w:rsidR="005732EF">
        <w:rPr>
          <w:color w:val="000000"/>
        </w:rPr>
        <w:t xml:space="preserve">{hahn2003} that also incorporates feedback effects among variables. Secondly, the availability of a longer horizon since the SARB adopted and succeeded in inflation targeting allows for a renewed, better-informed assessment of monetary regime dependence and the role of inflation in determining pass-through. </w:t>
      </w:r>
    </w:p>
    <w:p w14:paraId="7063EDB1" w14:textId="77777777" w:rsidR="002A2D0E" w:rsidRDefault="002A2D0E">
      <w:pPr>
        <w:rPr>
          <w:lang w:val="en-US"/>
        </w:rPr>
      </w:pPr>
    </w:p>
    <w:p w14:paraId="35F81ADF" w14:textId="77777777" w:rsidR="007F228D" w:rsidRDefault="007F228D">
      <w:pPr>
        <w:rPr>
          <w:lang w:val="en-US"/>
        </w:rPr>
      </w:pPr>
    </w:p>
    <w:p w14:paraId="12366293" w14:textId="77777777" w:rsidR="00692AC7" w:rsidRDefault="00692AC7">
      <w:pPr>
        <w:rPr>
          <w:lang w:val="en-US"/>
        </w:rPr>
      </w:pPr>
    </w:p>
    <w:p w14:paraId="305B0311" w14:textId="37175976" w:rsidR="00692AC7" w:rsidRPr="002A2D0E" w:rsidRDefault="00692AC7">
      <w:pPr>
        <w:rPr>
          <w:lang w:val="en-US"/>
        </w:rPr>
      </w:pPr>
    </w:p>
    <w:sectPr w:rsidR="00692AC7" w:rsidRPr="002A2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0E"/>
    <w:rsid w:val="0001758E"/>
    <w:rsid w:val="000614E3"/>
    <w:rsid w:val="0009463F"/>
    <w:rsid w:val="000A4D07"/>
    <w:rsid w:val="000B7AB6"/>
    <w:rsid w:val="000F5B0A"/>
    <w:rsid w:val="001B0619"/>
    <w:rsid w:val="001D0335"/>
    <w:rsid w:val="001D09D2"/>
    <w:rsid w:val="001D196A"/>
    <w:rsid w:val="00281A36"/>
    <w:rsid w:val="002A2D0E"/>
    <w:rsid w:val="002A6B48"/>
    <w:rsid w:val="002B3A5D"/>
    <w:rsid w:val="002E1771"/>
    <w:rsid w:val="002F6C64"/>
    <w:rsid w:val="00321900"/>
    <w:rsid w:val="003C56F8"/>
    <w:rsid w:val="003D2A2C"/>
    <w:rsid w:val="003E27EE"/>
    <w:rsid w:val="003F616A"/>
    <w:rsid w:val="004375E2"/>
    <w:rsid w:val="00453219"/>
    <w:rsid w:val="004571DB"/>
    <w:rsid w:val="00476317"/>
    <w:rsid w:val="004B7C0D"/>
    <w:rsid w:val="004D3AD3"/>
    <w:rsid w:val="00516006"/>
    <w:rsid w:val="00546D49"/>
    <w:rsid w:val="005654A9"/>
    <w:rsid w:val="005732EF"/>
    <w:rsid w:val="005850CA"/>
    <w:rsid w:val="005E6804"/>
    <w:rsid w:val="006112D0"/>
    <w:rsid w:val="006129F9"/>
    <w:rsid w:val="00645131"/>
    <w:rsid w:val="006752E0"/>
    <w:rsid w:val="00692AC7"/>
    <w:rsid w:val="006F46CD"/>
    <w:rsid w:val="007144F7"/>
    <w:rsid w:val="007409B7"/>
    <w:rsid w:val="00770282"/>
    <w:rsid w:val="0078372E"/>
    <w:rsid w:val="007F228D"/>
    <w:rsid w:val="00823225"/>
    <w:rsid w:val="00855D66"/>
    <w:rsid w:val="00961F02"/>
    <w:rsid w:val="009B3DED"/>
    <w:rsid w:val="009C5CF6"/>
    <w:rsid w:val="009D2F9B"/>
    <w:rsid w:val="009F61E0"/>
    <w:rsid w:val="00A6143F"/>
    <w:rsid w:val="00A62B90"/>
    <w:rsid w:val="00A66759"/>
    <w:rsid w:val="00A77F92"/>
    <w:rsid w:val="00A93221"/>
    <w:rsid w:val="00B20306"/>
    <w:rsid w:val="00B4675B"/>
    <w:rsid w:val="00B7411A"/>
    <w:rsid w:val="00B76677"/>
    <w:rsid w:val="00B84117"/>
    <w:rsid w:val="00B84CE1"/>
    <w:rsid w:val="00BA32C6"/>
    <w:rsid w:val="00BE3F7A"/>
    <w:rsid w:val="00C109F2"/>
    <w:rsid w:val="00C44F2D"/>
    <w:rsid w:val="00C47594"/>
    <w:rsid w:val="00D41F41"/>
    <w:rsid w:val="00D452C2"/>
    <w:rsid w:val="00D45345"/>
    <w:rsid w:val="00D64F0A"/>
    <w:rsid w:val="00D703DA"/>
    <w:rsid w:val="00DA00CC"/>
    <w:rsid w:val="00DB2F1C"/>
    <w:rsid w:val="00DB487C"/>
    <w:rsid w:val="00DC702F"/>
    <w:rsid w:val="00DD1051"/>
    <w:rsid w:val="00DF5547"/>
    <w:rsid w:val="00E31E03"/>
    <w:rsid w:val="00E54B83"/>
    <w:rsid w:val="00E60B21"/>
    <w:rsid w:val="00E66187"/>
    <w:rsid w:val="00E738A7"/>
    <w:rsid w:val="00E8637C"/>
    <w:rsid w:val="00E961BD"/>
    <w:rsid w:val="00EC46D7"/>
    <w:rsid w:val="00EC513E"/>
    <w:rsid w:val="00F04AC7"/>
    <w:rsid w:val="00F17D1B"/>
    <w:rsid w:val="00F21476"/>
    <w:rsid w:val="00F3224C"/>
    <w:rsid w:val="00F51399"/>
    <w:rsid w:val="00F9115B"/>
    <w:rsid w:val="00F9779A"/>
    <w:rsid w:val="00FB39B6"/>
    <w:rsid w:val="00FB54DA"/>
    <w:rsid w:val="00FC0D86"/>
    <w:rsid w:val="00FD3838"/>
    <w:rsid w:val="00FF67FB"/>
    <w:rsid w:val="00FF7D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277151D"/>
  <w15:chartTrackingRefBased/>
  <w15:docId w15:val="{E5DC5B7D-7F70-3344-A129-955C5C33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D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2A2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D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D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2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2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D0E"/>
    <w:rPr>
      <w:rFonts w:eastAsiaTheme="majorEastAsia" w:cstheme="majorBidi"/>
      <w:color w:val="272727" w:themeColor="text1" w:themeTint="D8"/>
    </w:rPr>
  </w:style>
  <w:style w:type="paragraph" w:styleId="Title">
    <w:name w:val="Title"/>
    <w:basedOn w:val="Normal"/>
    <w:next w:val="Normal"/>
    <w:link w:val="TitleChar"/>
    <w:uiPriority w:val="10"/>
    <w:qFormat/>
    <w:rsid w:val="002A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D0E"/>
    <w:rPr>
      <w:rFonts w:ascii="Times New Roman" w:hAnsi="Times New Roman"/>
      <w:i/>
      <w:iCs/>
      <w:color w:val="404040" w:themeColor="text1" w:themeTint="BF"/>
    </w:rPr>
  </w:style>
  <w:style w:type="paragraph" w:styleId="ListParagraph">
    <w:name w:val="List Paragraph"/>
    <w:basedOn w:val="Normal"/>
    <w:uiPriority w:val="34"/>
    <w:qFormat/>
    <w:rsid w:val="002A2D0E"/>
    <w:pPr>
      <w:ind w:left="720"/>
      <w:contextualSpacing/>
    </w:pPr>
  </w:style>
  <w:style w:type="character" w:styleId="IntenseEmphasis">
    <w:name w:val="Intense Emphasis"/>
    <w:basedOn w:val="DefaultParagraphFont"/>
    <w:uiPriority w:val="21"/>
    <w:qFormat/>
    <w:rsid w:val="002A2D0E"/>
    <w:rPr>
      <w:i/>
      <w:iCs/>
      <w:color w:val="0F4761" w:themeColor="accent1" w:themeShade="BF"/>
    </w:rPr>
  </w:style>
  <w:style w:type="paragraph" w:styleId="IntenseQuote">
    <w:name w:val="Intense Quote"/>
    <w:basedOn w:val="Normal"/>
    <w:next w:val="Normal"/>
    <w:link w:val="IntenseQuoteChar"/>
    <w:uiPriority w:val="30"/>
    <w:qFormat/>
    <w:rsid w:val="002A2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D0E"/>
    <w:rPr>
      <w:rFonts w:ascii="Times New Roman" w:hAnsi="Times New Roman"/>
      <w:i/>
      <w:iCs/>
      <w:color w:val="0F4761" w:themeColor="accent1" w:themeShade="BF"/>
    </w:rPr>
  </w:style>
  <w:style w:type="character" w:styleId="IntenseReference">
    <w:name w:val="Intense Reference"/>
    <w:basedOn w:val="DefaultParagraphFont"/>
    <w:uiPriority w:val="32"/>
    <w:qFormat/>
    <w:rsid w:val="002A2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5</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Smuts</dc:creator>
  <cp:keywords/>
  <dc:description/>
  <cp:lastModifiedBy>Jan Smuts</cp:lastModifiedBy>
  <cp:revision>26</cp:revision>
  <dcterms:created xsi:type="dcterms:W3CDTF">2026-05-28T14:44:00Z</dcterms:created>
  <dcterms:modified xsi:type="dcterms:W3CDTF">2026-06-02T15:10:00Z</dcterms:modified>
</cp:coreProperties>
</file>