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E05F3" w14:textId="793DD430" w:rsidR="00E54B83" w:rsidRDefault="002A2D0E">
      <w:pPr>
        <w:rPr>
          <w:lang w:val="en-US"/>
        </w:rPr>
      </w:pPr>
      <w:r>
        <w:rPr>
          <w:lang w:val="en-US"/>
        </w:rPr>
        <w:t>Lit review</w:t>
      </w:r>
    </w:p>
    <w:p w14:paraId="69E08BFB" w14:textId="77777777" w:rsidR="003F616A" w:rsidRDefault="003F616A">
      <w:pPr>
        <w:rPr>
          <w:lang w:val="en-US"/>
        </w:rPr>
      </w:pPr>
    </w:p>
    <w:p w14:paraId="4FDCDF23" w14:textId="77777777" w:rsidR="00C44F2D" w:rsidRDefault="00E66187">
      <w:pPr>
        <w:rPr>
          <w:lang w:val="en-US"/>
        </w:rPr>
      </w:pPr>
      <w:r>
        <w:rPr>
          <w:lang w:val="en-US"/>
        </w:rPr>
        <w:t>In the seminal</w:t>
      </w:r>
      <w:r w:rsidR="003F616A">
        <w:rPr>
          <w:lang w:val="en-US"/>
        </w:rPr>
        <w:t xml:space="preserve"> </w:t>
      </w:r>
      <w:r>
        <w:rPr>
          <w:lang w:val="en-US"/>
        </w:rPr>
        <w:t xml:space="preserve">international </w:t>
      </w:r>
      <w:r w:rsidR="003F616A">
        <w:rPr>
          <w:lang w:val="en-US"/>
        </w:rPr>
        <w:t>macroeconomic models by \</w:t>
      </w:r>
      <w:proofErr w:type="spellStart"/>
      <w:proofErr w:type="gramStart"/>
      <w:r w:rsidR="003F616A">
        <w:rPr>
          <w:lang w:val="en-US"/>
        </w:rPr>
        <w:t>textcite</w:t>
      </w:r>
      <w:proofErr w:type="spellEnd"/>
      <w:r w:rsidR="003F616A">
        <w:rPr>
          <w:lang w:val="en-US"/>
        </w:rPr>
        <w:t>{</w:t>
      </w:r>
      <w:proofErr w:type="gramEnd"/>
      <w:r w:rsidR="003F616A">
        <w:rPr>
          <w:color w:val="000000"/>
        </w:rPr>
        <w:t>obstfeld1995exchange</w:t>
      </w:r>
      <w:r w:rsidR="003F616A">
        <w:rPr>
          <w:color w:val="000000"/>
        </w:rPr>
        <w:t xml:space="preserve">, </w:t>
      </w:r>
      <w:r>
        <w:rPr>
          <w:color w:val="000000"/>
        </w:rPr>
        <w:t>obstfeld1998risk</w:t>
      </w:r>
      <w:r w:rsidR="003F616A">
        <w:rPr>
          <w:lang w:val="en-US"/>
        </w:rPr>
        <w:t>}</w:t>
      </w:r>
      <w:r>
        <w:rPr>
          <w:lang w:val="en-US"/>
        </w:rPr>
        <w:t>, producers set prices in their own currencies (</w:t>
      </w:r>
      <w:r w:rsidR="00E961BD">
        <w:rPr>
          <w:lang w:val="en-US"/>
        </w:rPr>
        <w:t>p</w:t>
      </w:r>
      <w:r>
        <w:rPr>
          <w:lang w:val="en-US"/>
        </w:rPr>
        <w:t>roducer</w:t>
      </w:r>
      <w:r w:rsidR="00E961BD">
        <w:rPr>
          <w:lang w:val="en-US"/>
        </w:rPr>
        <w:t>-c</w:t>
      </w:r>
      <w:r>
        <w:rPr>
          <w:lang w:val="en-US"/>
        </w:rPr>
        <w:t xml:space="preserve">urrency </w:t>
      </w:r>
      <w:r w:rsidR="00E961BD">
        <w:rPr>
          <w:lang w:val="en-US"/>
        </w:rPr>
        <w:t>p</w:t>
      </w:r>
      <w:r>
        <w:rPr>
          <w:lang w:val="en-US"/>
        </w:rPr>
        <w:t xml:space="preserve">ricing), meaning that the prices of imported goods </w:t>
      </w:r>
      <w:r w:rsidR="00B84117">
        <w:rPr>
          <w:lang w:val="en-US"/>
        </w:rPr>
        <w:t>should change one-for-one in response to exchange rate fluctuations</w:t>
      </w:r>
      <w:r w:rsidR="00E961BD">
        <w:rPr>
          <w:lang w:val="en-US"/>
        </w:rPr>
        <w:t xml:space="preserve"> and that these in turn help re-establish market equilibria. To account for the empirical evidence </w:t>
      </w:r>
      <w:r w:rsidR="00476317">
        <w:rPr>
          <w:lang w:val="en-US"/>
        </w:rPr>
        <w:t>documented in \</w:t>
      </w:r>
      <w:proofErr w:type="spellStart"/>
      <w:r w:rsidR="00476317">
        <w:rPr>
          <w:lang w:val="en-US"/>
        </w:rPr>
        <w:t>textcite</w:t>
      </w:r>
      <w:proofErr w:type="spellEnd"/>
      <w:r w:rsidR="00476317">
        <w:rPr>
          <w:lang w:val="en-US"/>
        </w:rPr>
        <w:t>{</w:t>
      </w:r>
      <w:r w:rsidR="00476317">
        <w:rPr>
          <w:color w:val="000000"/>
        </w:rPr>
        <w:t>goldberg1997causes</w:t>
      </w:r>
      <w:r w:rsidR="00476317">
        <w:rPr>
          <w:lang w:val="en-US"/>
        </w:rPr>
        <w:t xml:space="preserve">} </w:t>
      </w:r>
      <w:r w:rsidR="00E961BD">
        <w:rPr>
          <w:lang w:val="en-US"/>
        </w:rPr>
        <w:t xml:space="preserve">that import prices in </w:t>
      </w:r>
      <w:proofErr w:type="spellStart"/>
      <w:r w:rsidR="00E961BD">
        <w:rPr>
          <w:lang w:val="en-US"/>
        </w:rPr>
        <w:t>industrialised</w:t>
      </w:r>
      <w:proofErr w:type="spellEnd"/>
      <w:r w:rsidR="00E961BD">
        <w:rPr>
          <w:lang w:val="en-US"/>
        </w:rPr>
        <w:t xml:space="preserve"> countries tend not to move with the exchange rate, \</w:t>
      </w:r>
      <w:proofErr w:type="spellStart"/>
      <w:r w:rsidR="00E961BD">
        <w:rPr>
          <w:lang w:val="en-US"/>
        </w:rPr>
        <w:t>textcite</w:t>
      </w:r>
      <w:proofErr w:type="spellEnd"/>
      <w:r w:rsidR="00E961BD">
        <w:rPr>
          <w:lang w:val="en-US"/>
        </w:rPr>
        <w:t>{</w:t>
      </w:r>
      <w:r w:rsidR="00E961BD">
        <w:rPr>
          <w:color w:val="000000"/>
        </w:rPr>
        <w:t>devereux2003monetary</w:t>
      </w:r>
      <w:r w:rsidR="00E961BD">
        <w:rPr>
          <w:lang w:val="en-US"/>
        </w:rPr>
        <w:t xml:space="preserve">} introduce </w:t>
      </w:r>
      <w:r w:rsidR="00DC702F">
        <w:rPr>
          <w:lang w:val="en-US"/>
        </w:rPr>
        <w:t xml:space="preserve">an alternative model in which </w:t>
      </w:r>
      <w:r w:rsidR="00E961BD">
        <w:rPr>
          <w:lang w:val="en-US"/>
        </w:rPr>
        <w:t>in which exporting producers set prices in the currency of the destination country</w:t>
      </w:r>
      <w:r w:rsidR="00DC702F">
        <w:rPr>
          <w:lang w:val="en-US"/>
        </w:rPr>
        <w:t xml:space="preserve"> (local-currency pricing), </w:t>
      </w:r>
      <w:r w:rsidR="00770282">
        <w:rPr>
          <w:lang w:val="en-US"/>
        </w:rPr>
        <w:t>meaning that exchange rate fluctuations have no impact on the prices of imported goods. This in turn</w:t>
      </w:r>
      <w:r w:rsidR="00DC702F">
        <w:rPr>
          <w:lang w:val="en-US"/>
        </w:rPr>
        <w:t xml:space="preserve"> they show </w:t>
      </w:r>
      <w:r w:rsidR="00476317">
        <w:rPr>
          <w:lang w:val="en-US"/>
        </w:rPr>
        <w:t>to dampen the expenditure-switching benefits of a floating exchange rate</w:t>
      </w:r>
      <w:r w:rsidR="00E961BD">
        <w:rPr>
          <w:lang w:val="en-US"/>
        </w:rPr>
        <w:t>.</w:t>
      </w:r>
      <w:r w:rsidR="00476317">
        <w:rPr>
          <w:lang w:val="en-US"/>
        </w:rPr>
        <w:t xml:space="preserve"> </w:t>
      </w:r>
      <w:r w:rsidR="0001758E">
        <w:rPr>
          <w:lang w:val="en-US"/>
        </w:rPr>
        <w:t>\</w:t>
      </w:r>
      <w:proofErr w:type="spellStart"/>
      <w:proofErr w:type="gramStart"/>
      <w:r w:rsidR="0001758E">
        <w:rPr>
          <w:lang w:val="en-US"/>
        </w:rPr>
        <w:t>textcite</w:t>
      </w:r>
      <w:proofErr w:type="spellEnd"/>
      <w:proofErr w:type="gramEnd"/>
      <w:r w:rsidR="0001758E">
        <w:rPr>
          <w:lang w:val="en-US"/>
        </w:rPr>
        <w:t>{</w:t>
      </w:r>
      <w:r w:rsidR="0001758E">
        <w:rPr>
          <w:color w:val="000000"/>
        </w:rPr>
        <w:t>betts2000exchange</w:t>
      </w:r>
      <w:r w:rsidR="0001758E">
        <w:rPr>
          <w:lang w:val="en-US"/>
        </w:rPr>
        <w:t xml:space="preserve">} allow for a mix between LCP and PCP, showing that under sticky prices, the response of prices to exchange rate movements is a function of the share of domestic firms and foreign firms who price to market (LCP) over all firms. </w:t>
      </w:r>
    </w:p>
    <w:p w14:paraId="44B7DAC0" w14:textId="77777777" w:rsidR="00C44F2D" w:rsidRDefault="00C44F2D">
      <w:pPr>
        <w:rPr>
          <w:lang w:val="en-US"/>
        </w:rPr>
      </w:pPr>
    </w:p>
    <w:p w14:paraId="1C70F6DF" w14:textId="4A8180D5" w:rsidR="003F616A" w:rsidRDefault="00D64F0A">
      <w:pPr>
        <w:rPr>
          <w:lang w:val="en-US"/>
        </w:rPr>
      </w:pPr>
      <w:r>
        <w:rPr>
          <w:lang w:val="en-US"/>
        </w:rPr>
        <w:t>Across 25 OECD countries, \</w:t>
      </w:r>
      <w:proofErr w:type="spellStart"/>
      <w:r>
        <w:rPr>
          <w:lang w:val="en-US"/>
        </w:rPr>
        <w:t>textcite</w:t>
      </w:r>
      <w:proofErr w:type="spellEnd"/>
      <w:r>
        <w:rPr>
          <w:lang w:val="en-US"/>
        </w:rPr>
        <w:t>{</w:t>
      </w:r>
      <w:r>
        <w:rPr>
          <w:color w:val="000000"/>
        </w:rPr>
        <w:t>campa2005exchange</w:t>
      </w:r>
      <w:r>
        <w:rPr>
          <w:lang w:val="en-US"/>
        </w:rPr>
        <w:t xml:space="preserve">} </w:t>
      </w:r>
      <w:r w:rsidR="00B84CE1">
        <w:rPr>
          <w:lang w:val="en-US"/>
        </w:rPr>
        <w:t>use a multivariate OLS controlling for costs and demand</w:t>
      </w:r>
      <w:r w:rsidR="00FB39B6">
        <w:rPr>
          <w:lang w:val="en-US"/>
        </w:rPr>
        <w:t xml:space="preserve"> factors</w:t>
      </w:r>
      <w:r w:rsidR="00B84CE1">
        <w:rPr>
          <w:lang w:val="en-US"/>
        </w:rPr>
        <w:t xml:space="preserve"> and </w:t>
      </w:r>
      <w:r>
        <w:rPr>
          <w:lang w:val="en-US"/>
        </w:rPr>
        <w:t xml:space="preserve">found the average pass-through of exchange rate to import prices to be about 0.6 after a </w:t>
      </w:r>
      <w:r w:rsidR="00DF5547">
        <w:rPr>
          <w:lang w:val="en-US"/>
        </w:rPr>
        <w:t>quarter and 0.7</w:t>
      </w:r>
      <w:r w:rsidR="00B84CE1">
        <w:rPr>
          <w:lang w:val="en-US"/>
        </w:rPr>
        <w:t>5 after a year</w:t>
      </w:r>
      <w:r w:rsidR="00C44F2D">
        <w:rPr>
          <w:lang w:val="en-US"/>
        </w:rPr>
        <w:t>, rejecting both PCP and LCP hypotheses (which should yield 1 and 0 respectively).  The authors note disparities among countries in their set. \</w:t>
      </w:r>
    </w:p>
    <w:p w14:paraId="01BD11F8" w14:textId="77777777" w:rsidR="00770282" w:rsidRDefault="00770282">
      <w:pPr>
        <w:rPr>
          <w:lang w:val="en-US"/>
        </w:rPr>
      </w:pPr>
    </w:p>
    <w:p w14:paraId="558CD39D" w14:textId="77777777" w:rsidR="00FC0D86" w:rsidRDefault="00FC0D86">
      <w:pPr>
        <w:rPr>
          <w:lang w:val="en-US"/>
        </w:rPr>
      </w:pPr>
    </w:p>
    <w:p w14:paraId="6D31D73A" w14:textId="0B1207FE" w:rsidR="00FC0D86" w:rsidRDefault="00FC0D86">
      <w:pPr>
        <w:rPr>
          <w:lang w:val="en-US"/>
        </w:rPr>
      </w:pPr>
      <w:r>
        <w:rPr>
          <w:lang w:val="en-US"/>
        </w:rPr>
        <w:t>Burstein et al for pass-through of import to cpi</w:t>
      </w:r>
    </w:p>
    <w:p w14:paraId="2AAD19CA" w14:textId="32DEF60B" w:rsidR="00B20306" w:rsidRDefault="00B20306">
      <w:pPr>
        <w:rPr>
          <w:lang w:val="en-US"/>
        </w:rPr>
      </w:pPr>
      <w:r w:rsidRPr="00B20306">
        <w:rPr>
          <w:lang w:val="en-US"/>
        </w:rPr>
        <w:sym w:font="Wingdings" w:char="F0E0"/>
      </w:r>
      <w:r>
        <w:rPr>
          <w:lang w:val="en-US"/>
        </w:rPr>
        <w:t xml:space="preserve"> should we test this directly?</w:t>
      </w:r>
    </w:p>
    <w:p w14:paraId="0543F243" w14:textId="5A2C1620" w:rsidR="00770282" w:rsidRDefault="00FC0D86">
      <w:pPr>
        <w:rPr>
          <w:lang w:val="en-US"/>
        </w:rPr>
      </w:pPr>
      <w:r>
        <w:rPr>
          <w:lang w:val="en-US"/>
        </w:rPr>
        <w:t>Gopinath +2 at a firm level?</w:t>
      </w:r>
    </w:p>
    <w:p w14:paraId="7063EDB1" w14:textId="77777777" w:rsidR="002A2D0E" w:rsidRDefault="002A2D0E">
      <w:pPr>
        <w:rPr>
          <w:lang w:val="en-US"/>
        </w:rPr>
      </w:pPr>
    </w:p>
    <w:p w14:paraId="59E46ABE" w14:textId="0A61D22E" w:rsidR="007F228D" w:rsidRDefault="002A2D0E">
      <w:pPr>
        <w:rPr>
          <w:lang w:val="en-US"/>
        </w:rPr>
      </w:pPr>
      <w:r>
        <w:rPr>
          <w:lang w:val="en-US"/>
        </w:rPr>
        <w:t xml:space="preserve">Previous literature show that the relationship between exchange rates and prices can be assessed through both micro and macroeconomic perspectives. </w:t>
      </w:r>
      <w:proofErr w:type="gramStart"/>
      <w:r>
        <w:rPr>
          <w:lang w:val="en-US"/>
        </w:rPr>
        <w:t>With regard to</w:t>
      </w:r>
      <w:proofErr w:type="gramEnd"/>
      <w:r>
        <w:rPr>
          <w:lang w:val="en-US"/>
        </w:rPr>
        <w:t xml:space="preserve"> the former, </w:t>
      </w:r>
      <w:r w:rsidR="003E27EE">
        <w:rPr>
          <w:lang w:val="en-US"/>
        </w:rPr>
        <w:t>industrial organization theory has been used to explain disconnects between changes to nominal exchange rates and prices</w:t>
      </w:r>
      <w:r w:rsidR="001B0619">
        <w:rPr>
          <w:lang w:val="en-US"/>
        </w:rPr>
        <w:t xml:space="preserve"> and the resulting violation of the Law of One Price over the long term</w:t>
      </w:r>
      <w:r w:rsidR="003E27EE">
        <w:rPr>
          <w:lang w:val="en-US"/>
        </w:rPr>
        <w:t>. According to \</w:t>
      </w:r>
      <w:proofErr w:type="spellStart"/>
      <w:r w:rsidR="003E27EE">
        <w:rPr>
          <w:lang w:val="en-US"/>
        </w:rPr>
        <w:t>textcite</w:t>
      </w:r>
      <w:proofErr w:type="spellEnd"/>
      <w:r w:rsidR="003E27EE">
        <w:rPr>
          <w:lang w:val="en-US"/>
        </w:rPr>
        <w:t>{</w:t>
      </w:r>
      <w:r w:rsidR="003E27EE">
        <w:rPr>
          <w:color w:val="000000"/>
        </w:rPr>
        <w:t>dornbusch1985exchange</w:t>
      </w:r>
      <w:r w:rsidR="003E27EE">
        <w:rPr>
          <w:lang w:val="en-US"/>
        </w:rPr>
        <w:t xml:space="preserve">}, exchange rate movements interact with sticky prices and wages, producing a cost-shock for foreign firms in domestic markets which will result in an industry-wide adjustment in prices based on the </w:t>
      </w:r>
      <w:r w:rsidR="004B7C0D">
        <w:rPr>
          <w:lang w:val="en-US"/>
        </w:rPr>
        <w:t xml:space="preserve">industry’s </w:t>
      </w:r>
      <w:r w:rsidR="004B7C0D">
        <w:rPr>
          <w:lang w:val="en-US"/>
        </w:rPr>
        <w:lastRenderedPageBreak/>
        <w:t xml:space="preserve">market concentration, producer homogeneity, substitutability and relative split between foreign and domestic goods. </w:t>
      </w:r>
    </w:p>
    <w:p w14:paraId="680FD2CA" w14:textId="77777777" w:rsidR="007F228D" w:rsidRDefault="007F228D">
      <w:pPr>
        <w:rPr>
          <w:lang w:val="en-US"/>
        </w:rPr>
      </w:pPr>
    </w:p>
    <w:p w14:paraId="2C60D9F6" w14:textId="2ADFD58A" w:rsidR="002A2D0E" w:rsidRDefault="001B0619">
      <w:pPr>
        <w:rPr>
          <w:lang w:val="en-US"/>
        </w:rPr>
      </w:pPr>
      <w:r>
        <w:rPr>
          <w:lang w:val="en-US"/>
        </w:rPr>
        <w:t>\</w:t>
      </w:r>
      <w:proofErr w:type="spellStart"/>
      <w:proofErr w:type="gramStart"/>
      <w:r>
        <w:rPr>
          <w:lang w:val="en-US"/>
        </w:rPr>
        <w:t>textcite</w:t>
      </w:r>
      <w:proofErr w:type="spellEnd"/>
      <w:proofErr w:type="gramEnd"/>
      <w:r>
        <w:rPr>
          <w:lang w:val="en-US"/>
        </w:rPr>
        <w:t>{</w:t>
      </w:r>
      <w:r>
        <w:rPr>
          <w:color w:val="000000"/>
        </w:rPr>
        <w:t>krugman1986</w:t>
      </w:r>
      <w:r>
        <w:rPr>
          <w:lang w:val="en-US"/>
        </w:rPr>
        <w:t>} provides three potential explanations for why dynamic exchange rates may not lead to proportionate adjustments in import prices. Supply-</w:t>
      </w:r>
      <w:r w:rsidR="00E60B21">
        <w:rPr>
          <w:lang w:val="en-US"/>
        </w:rPr>
        <w:t xml:space="preserve">side constraints (for example in marketing and distribution channels) in different markets dampens the effect of a depreciation in the domestic currency on domestic prices, as foreign firms face costs in expanding supply infrastructure. They may thus only drop their prices if the increased revenue is sufficient to cover the cost of additional infrastructure. </w:t>
      </w:r>
      <w:proofErr w:type="gramStart"/>
      <w:r w:rsidR="00E60B21">
        <w:rPr>
          <w:lang w:val="en-US"/>
        </w:rPr>
        <w:t>Thus</w:t>
      </w:r>
      <w:proofErr w:type="gramEnd"/>
      <w:r w:rsidR="00E60B21">
        <w:rPr>
          <w:lang w:val="en-US"/>
        </w:rPr>
        <w:t xml:space="preserve"> movements that are perceived as transient </w:t>
      </w:r>
      <w:r w:rsidR="00546D49">
        <w:rPr>
          <w:lang w:val="en-US"/>
        </w:rPr>
        <w:t xml:space="preserve">would not warrant the expansion of sales through lower prices. On the demand-side, to the extent that the impact of prices on demand is lagged, foreign producers </w:t>
      </w:r>
      <w:r w:rsidR="00F9115B">
        <w:rPr>
          <w:lang w:val="en-US"/>
        </w:rPr>
        <w:t xml:space="preserve">anticipating domestic currency depreciations may decrease their current prices </w:t>
      </w:r>
      <w:proofErr w:type="gramStart"/>
      <w:r w:rsidR="00F9115B">
        <w:rPr>
          <w:lang w:val="en-US"/>
        </w:rPr>
        <w:t>in order to</w:t>
      </w:r>
      <w:proofErr w:type="gramEnd"/>
      <w:r w:rsidR="00F9115B">
        <w:rPr>
          <w:lang w:val="en-US"/>
        </w:rPr>
        <w:t xml:space="preserve"> avoid losing sales. Finally, </w:t>
      </w:r>
      <w:r w:rsidR="00DA00CC">
        <w:rPr>
          <w:lang w:val="en-US"/>
        </w:rPr>
        <w:t>firm reputation resulting from price adjustments may</w:t>
      </w:r>
      <w:r w:rsidR="00F9115B">
        <w:rPr>
          <w:lang w:val="en-US"/>
        </w:rPr>
        <w:t xml:space="preserve"> </w:t>
      </w:r>
      <w:r w:rsidR="00DA00CC">
        <w:rPr>
          <w:lang w:val="en-US"/>
        </w:rPr>
        <w:t xml:space="preserve">prevent foreign firms from passing on costs to </w:t>
      </w:r>
      <w:r w:rsidR="007F228D">
        <w:rPr>
          <w:lang w:val="en-US"/>
        </w:rPr>
        <w:t xml:space="preserve">importing </w:t>
      </w:r>
      <w:r w:rsidR="00DA00CC">
        <w:rPr>
          <w:lang w:val="en-US"/>
        </w:rPr>
        <w:t xml:space="preserve">consumers, even when domestic depreciations push marginal revenue below marginal costs for foreign firms. </w:t>
      </w:r>
    </w:p>
    <w:p w14:paraId="76AEDDBD" w14:textId="77777777" w:rsidR="007F228D" w:rsidRDefault="007F228D">
      <w:pPr>
        <w:rPr>
          <w:lang w:val="en-US"/>
        </w:rPr>
      </w:pPr>
    </w:p>
    <w:p w14:paraId="45B4ABC3" w14:textId="41B4093F" w:rsidR="007F228D" w:rsidRDefault="007F228D">
      <w:pPr>
        <w:rPr>
          <w:lang w:val="en-US"/>
        </w:rPr>
      </w:pPr>
      <w:r>
        <w:rPr>
          <w:lang w:val="en-US"/>
        </w:rPr>
        <w:t xml:space="preserve">Studying on  Japanese </w:t>
      </w:r>
      <w:r w:rsidR="00DB2F1C">
        <w:rPr>
          <w:lang w:val="en-US"/>
        </w:rPr>
        <w:t xml:space="preserve">firms </w:t>
      </w:r>
      <w:r>
        <w:rPr>
          <w:lang w:val="en-US"/>
        </w:rPr>
        <w:t>export</w:t>
      </w:r>
      <w:r w:rsidR="00DB2F1C">
        <w:rPr>
          <w:lang w:val="en-US"/>
        </w:rPr>
        <w:t>ing to the United States</w:t>
      </w:r>
      <w:r>
        <w:rPr>
          <w:lang w:val="en-US"/>
        </w:rPr>
        <w:t>, \</w:t>
      </w:r>
      <w:proofErr w:type="spellStart"/>
      <w:r>
        <w:rPr>
          <w:lang w:val="en-US"/>
        </w:rPr>
        <w:t>textcite</w:t>
      </w:r>
      <w:proofErr w:type="spellEnd"/>
      <w:r>
        <w:rPr>
          <w:lang w:val="en-US"/>
        </w:rPr>
        <w:t>{</w:t>
      </w:r>
      <w:r>
        <w:rPr>
          <w:color w:val="000000"/>
        </w:rPr>
        <w:t>marston1990pricing</w:t>
      </w:r>
      <w:r>
        <w:rPr>
          <w:lang w:val="en-US"/>
        </w:rPr>
        <w:t xml:space="preserve">} showed that differences in the elasticity of mark-ups between domestic and foreign markets and interdependence in quantities allocated to foreign and domestic markets mean that </w:t>
      </w:r>
      <w:r w:rsidR="00DB2F1C">
        <w:rPr>
          <w:lang w:val="en-US"/>
        </w:rPr>
        <w:t xml:space="preserve">yen depreciations can lead to exporting firms increasing the mark-up on products,  resulting in a decrease in the  dollar price that is less than the magnitude of the </w:t>
      </w:r>
      <w:r w:rsidR="00A77F92">
        <w:rPr>
          <w:lang w:val="en-US"/>
        </w:rPr>
        <w:t xml:space="preserve">dollar appreciation. </w:t>
      </w:r>
    </w:p>
    <w:p w14:paraId="35F81ADF" w14:textId="77777777" w:rsidR="007F228D" w:rsidRDefault="007F228D">
      <w:pPr>
        <w:rPr>
          <w:lang w:val="en-US"/>
        </w:rPr>
      </w:pPr>
    </w:p>
    <w:p w14:paraId="465B25AD" w14:textId="77777777" w:rsidR="007F228D" w:rsidRPr="002A2D0E" w:rsidRDefault="007F228D">
      <w:pPr>
        <w:rPr>
          <w:lang w:val="en-US"/>
        </w:rPr>
      </w:pPr>
    </w:p>
    <w:sectPr w:rsidR="007F228D" w:rsidRPr="002A2D0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2D0E"/>
    <w:rsid w:val="0001758E"/>
    <w:rsid w:val="001B0619"/>
    <w:rsid w:val="001D09D2"/>
    <w:rsid w:val="002A2D0E"/>
    <w:rsid w:val="002A6B48"/>
    <w:rsid w:val="003E27EE"/>
    <w:rsid w:val="003F616A"/>
    <w:rsid w:val="004571DB"/>
    <w:rsid w:val="00476317"/>
    <w:rsid w:val="004B7C0D"/>
    <w:rsid w:val="00546D49"/>
    <w:rsid w:val="006F46CD"/>
    <w:rsid w:val="00770282"/>
    <w:rsid w:val="007F228D"/>
    <w:rsid w:val="00855D66"/>
    <w:rsid w:val="00961F02"/>
    <w:rsid w:val="00A77F92"/>
    <w:rsid w:val="00B20306"/>
    <w:rsid w:val="00B84117"/>
    <w:rsid w:val="00B84CE1"/>
    <w:rsid w:val="00C44F2D"/>
    <w:rsid w:val="00D64F0A"/>
    <w:rsid w:val="00DA00CC"/>
    <w:rsid w:val="00DB2F1C"/>
    <w:rsid w:val="00DC702F"/>
    <w:rsid w:val="00DF5547"/>
    <w:rsid w:val="00E54B83"/>
    <w:rsid w:val="00E60B21"/>
    <w:rsid w:val="00E66187"/>
    <w:rsid w:val="00E961BD"/>
    <w:rsid w:val="00F9115B"/>
    <w:rsid w:val="00FB39B6"/>
    <w:rsid w:val="00FC0D8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3277151D"/>
  <w15:chartTrackingRefBased/>
  <w15:docId w15:val="{E5DC5B7D-7F70-3344-A129-955C5C33F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1DB"/>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2A2D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2D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2D0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2D0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A2D0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A2D0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A2D0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A2D0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A2D0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2D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2D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2D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2D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2D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2D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2D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2D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2D0E"/>
    <w:rPr>
      <w:rFonts w:eastAsiaTheme="majorEastAsia" w:cstheme="majorBidi"/>
      <w:color w:val="272727" w:themeColor="text1" w:themeTint="D8"/>
    </w:rPr>
  </w:style>
  <w:style w:type="paragraph" w:styleId="Title">
    <w:name w:val="Title"/>
    <w:basedOn w:val="Normal"/>
    <w:next w:val="Normal"/>
    <w:link w:val="TitleChar"/>
    <w:uiPriority w:val="10"/>
    <w:qFormat/>
    <w:rsid w:val="002A2D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2D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2D0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2D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2D0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A2D0E"/>
    <w:rPr>
      <w:rFonts w:ascii="Times New Roman" w:hAnsi="Times New Roman"/>
      <w:i/>
      <w:iCs/>
      <w:color w:val="404040" w:themeColor="text1" w:themeTint="BF"/>
    </w:rPr>
  </w:style>
  <w:style w:type="paragraph" w:styleId="ListParagraph">
    <w:name w:val="List Paragraph"/>
    <w:basedOn w:val="Normal"/>
    <w:uiPriority w:val="34"/>
    <w:qFormat/>
    <w:rsid w:val="002A2D0E"/>
    <w:pPr>
      <w:ind w:left="720"/>
      <w:contextualSpacing/>
    </w:pPr>
  </w:style>
  <w:style w:type="character" w:styleId="IntenseEmphasis">
    <w:name w:val="Intense Emphasis"/>
    <w:basedOn w:val="DefaultParagraphFont"/>
    <w:uiPriority w:val="21"/>
    <w:qFormat/>
    <w:rsid w:val="002A2D0E"/>
    <w:rPr>
      <w:i/>
      <w:iCs/>
      <w:color w:val="0F4761" w:themeColor="accent1" w:themeShade="BF"/>
    </w:rPr>
  </w:style>
  <w:style w:type="paragraph" w:styleId="IntenseQuote">
    <w:name w:val="Intense Quote"/>
    <w:basedOn w:val="Normal"/>
    <w:next w:val="Normal"/>
    <w:link w:val="IntenseQuoteChar"/>
    <w:uiPriority w:val="30"/>
    <w:qFormat/>
    <w:rsid w:val="002A2D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2D0E"/>
    <w:rPr>
      <w:rFonts w:ascii="Times New Roman" w:hAnsi="Times New Roman"/>
      <w:i/>
      <w:iCs/>
      <w:color w:val="0F4761" w:themeColor="accent1" w:themeShade="BF"/>
    </w:rPr>
  </w:style>
  <w:style w:type="character" w:styleId="IntenseReference">
    <w:name w:val="Intense Reference"/>
    <w:basedOn w:val="DefaultParagraphFont"/>
    <w:uiPriority w:val="32"/>
    <w:qFormat/>
    <w:rsid w:val="002A2D0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2</Pages>
  <Words>584</Words>
  <Characters>3333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Smuts</dc:creator>
  <cp:keywords/>
  <dc:description/>
  <cp:lastModifiedBy>Jan Smuts</cp:lastModifiedBy>
  <cp:revision>8</cp:revision>
  <dcterms:created xsi:type="dcterms:W3CDTF">2026-05-28T14:44:00Z</dcterms:created>
  <dcterms:modified xsi:type="dcterms:W3CDTF">2026-05-29T16:22:00Z</dcterms:modified>
</cp:coreProperties>
</file>