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before="0"/>
        <w:jc w:val="center"/>
      </w:pPr>
      <w:r>
        <w:rPr>
          <w:rFonts w:ascii="Arial" w:cs="Arial" w:eastAsia="Arial" w:hAnsi="Arial"/>
          <w:b/>
          <w:bCs/>
          <w:color w:val="1B3A6B"/>
          <w:sz w:val="80"/>
          <w:szCs w:val="80"/>
        </w:rPr>
        <w:t xml:space="preserve">AnonReq</w:t>
      </w:r>
    </w:p>
    <w:p>
      <w:pPr>
        <w:spacing w:after="200" w:before="0"/>
        <w:jc w:val="center"/>
      </w:pPr>
      <w:r>
        <w:rPr>
          <w:rFonts w:ascii="Arial" w:cs="Arial" w:eastAsia="Arial" w:hAnsi="Arial"/>
          <w:color w:val="2E6DA4"/>
          <w:sz w:val="36"/>
          <w:szCs w:val="36"/>
        </w:rPr>
        <w:t xml:space="preserve">Sovereign Data Anonymization Gateway</w:t>
      </w:r>
    </w:p>
    <w:p>
      <w:pPr>
        <w:pBdr>
          <w:top w:val="single" w:color="1B3A6B" w:sz="12"/>
          <w:bottom w:val="single" w:color="1B3A6B" w:sz="12"/>
        </w:pBdr>
        <w:spacing w:after="120" w:before="120"/>
        <w:jc w:val="center"/>
      </w:pPr>
      <w:r>
        <w:rPr>
          <w:rFonts w:ascii="Arial" w:cs="Arial" w:eastAsia="Arial" w:hAnsi="Arial"/>
          <w:color w:val="5A6B7A"/>
          <w:sz w:val="22"/>
          <w:szCs w:val="22"/>
        </w:rPr>
        <w:t xml:space="preserve">Product Requirements Document  ·  v1.0  ·  CONFIDENTIAL</w:t>
      </w:r>
    </w:p>
    <w:p>
      <w:pPr>
        <w:spacing w:before="400"/>
      </w:pPr>
    </w:p>
    <w:p>
      <w:pPr>
        <w:jc w:val="center"/>
      </w:pPr>
      <w:r>
        <w:rPr>
          <w:rFonts w:ascii="Arial" w:cs="Arial" w:eastAsia="Arial" w:hAnsi="Arial"/>
          <w:color w:val="5A6B7A"/>
          <w:sz w:val="20"/>
          <w:szCs w:val="20"/>
        </w:rPr>
        <w:t xml:space="preserve">Prepared by:</w:t>
      </w:r>
    </w:p>
    <w:p>
      <w:pPr>
        <w:spacing w:after="40"/>
        <w:jc w:val="center"/>
      </w:pPr>
      <w:r>
        <w:rPr>
          <w:rFonts w:ascii="Arial" w:cs="Arial" w:eastAsia="Arial" w:hAnsi="Arial"/>
          <w:b/>
          <w:bCs/>
          <w:color w:val="1B3A6B"/>
          <w:sz w:val="24"/>
          <w:szCs w:val="24"/>
        </w:rPr>
        <w:t xml:space="preserve">Abdullah Al-Rashid</w:t>
      </w:r>
    </w:p>
    <w:p>
      <w:pPr>
        <w:jc w:val="center"/>
      </w:pPr>
      <w:r>
        <w:rPr>
          <w:rFonts w:ascii="Arial" w:cs="Arial" w:eastAsia="Arial" w:hAnsi="Arial"/>
          <w:color w:val="5A6B7A"/>
          <w:sz w:val="20"/>
          <w:szCs w:val="20"/>
        </w:rPr>
        <w:t xml:space="preserve">AI &amp; Infrastructure Consultant  ·  Spartech / Wolver Ventures</w:t>
      </w:r>
    </w:p>
    <w:p>
      <w:pPr>
        <w:spacing w:before="200"/>
        <w:jc w:val="center"/>
      </w:pPr>
      <w:r>
        <w:rPr>
          <w:rFonts w:ascii="Arial" w:cs="Arial" w:eastAsia="Arial" w:hAnsi="Arial"/>
          <w:color w:val="5A6B7A"/>
          <w:sz w:val="20"/>
          <w:szCs w:val="20"/>
        </w:rPr>
        <w:t xml:space="preserve">June 2025</w:t>
      </w:r>
    </w:p>
    <w:p>
      <w:r>
        <w:br w:type="page"/>
      </w:r>
    </w:p>
    <w:p>
      <w:pPr>
        <w:pStyle w:val="Heading1"/>
        <w:pBdr>
          <w:bottom w:val="single" w:color="1B3A6B" w:sz="8" w:space="4"/>
        </w:pBdr>
        <w:spacing w:after="120" w:before="480"/>
      </w:pPr>
      <w:r>
        <w:rPr>
          <w:rFonts w:ascii="Arial" w:cs="Arial" w:eastAsia="Arial" w:hAnsi="Arial"/>
          <w:b/>
          <w:bCs/>
          <w:color w:val="1B3A6B"/>
          <w:sz w:val="32"/>
          <w:szCs w:val="32"/>
        </w:rPr>
        <w:t xml:space="preserve">Table of Contents</w:t>
      </w:r>
    </w:p>
    <w:p>
      <w:pPr>
        <w:spacing w:after="100" w:before="60"/>
      </w:pPr>
      <w:r>
        <w:rPr>
          <w:rFonts w:ascii="Arial" w:cs="Arial" w:eastAsia="Arial" w:hAnsi="Arial"/>
          <w:i/>
          <w:iCs/>
          <w:color w:val="5A6B7A"/>
          <w:sz w:val="18"/>
          <w:szCs w:val="18"/>
        </w:rPr>
        <w:t xml:space="preserve">(Update field after opening in Word: right-click → Update Field)</w:t>
      </w:r>
    </w:p>
    <w:p>
      <w:pPr>
        <w:spacing w:after="40" w:before="100"/>
      </w:pPr>
      <w:r>
        <w:rPr>
          <w:rFonts w:ascii="Arial" w:cs="Arial" w:eastAsia="Arial" w:hAnsi="Arial"/>
          <w:sz w:val="20"/>
          <w:szCs w:val="20"/>
        </w:rPr>
        <w:t xml:space="preserve">Introduction &amp; Glossary ................................ 3</w:t>
      </w:r>
    </w:p>
    <w:p>
      <w:pPr>
        <w:spacing w:after="40" w:before="40"/>
      </w:pPr>
      <w:r>
        <w:rPr>
          <w:rFonts w:ascii="Arial" w:cs="Arial" w:eastAsia="Arial" w:hAnsi="Arial"/>
          <w:sz w:val="20"/>
          <w:szCs w:val="20"/>
        </w:rPr>
        <w:t xml:space="preserve">Phase 1 — Core Gateway (Requirements 1–16) ............ 4</w:t>
      </w:r>
    </w:p>
    <w:p>
      <w:pPr>
        <w:spacing w:after="40" w:before="40"/>
      </w:pPr>
      <w:r>
        <w:rPr>
          <w:rFonts w:ascii="Arial" w:cs="Arial" w:eastAsia="Arial" w:hAnsi="Arial"/>
          <w:sz w:val="20"/>
          <w:szCs w:val="20"/>
        </w:rPr>
        <w:t xml:space="preserve">Phase 2 — Enterprise &amp; Financial Services (Req 17–47) .. 18</w:t>
      </w:r>
    </w:p>
    <w:p>
      <w:pPr>
        <w:spacing w:after="40" w:before="40"/>
      </w:pPr>
      <w:r>
        <w:rPr>
          <w:rFonts w:ascii="Arial" w:cs="Arial" w:eastAsia="Arial" w:hAnsi="Arial"/>
          <w:sz w:val="20"/>
          <w:szCs w:val="20"/>
        </w:rPr>
        <w:t xml:space="preserve">Phase 3 — Sovereign Voice AI (Requirements 48–52) ...... 44</w:t>
      </w:r>
    </w:p>
    <w:p>
      <w:pPr>
        <w:spacing w:after="40" w:before="40"/>
      </w:pPr>
      <w:r>
        <w:rPr>
          <w:rFonts w:ascii="Arial" w:cs="Arial" w:eastAsia="Arial" w:hAnsi="Arial"/>
          <w:sz w:val="20"/>
          <w:szCs w:val="20"/>
        </w:rPr>
        <w:t xml:space="preserve">Commercial Model &amp; Pricing ............................. 50</w:t>
      </w:r>
    </w:p>
    <w:p>
      <w:r>
        <w:br w:type="page"/>
      </w:r>
    </w:p>
    <w:p>
      <w:pPr>
        <w:pStyle w:val="Heading1"/>
        <w:pBdr>
          <w:bottom w:val="single" w:color="1B3A6B" w:sz="8" w:space="4"/>
        </w:pBdr>
        <w:spacing w:after="120" w:before="480"/>
      </w:pPr>
      <w:r>
        <w:rPr>
          <w:rFonts w:ascii="Arial" w:cs="Arial" w:eastAsia="Arial" w:hAnsi="Arial"/>
          <w:b/>
          <w:bCs/>
          <w:color w:val="1B3A6B"/>
          <w:sz w:val="32"/>
          <w:szCs w:val="32"/>
        </w:rPr>
        <w:t xml:space="preserve">Introduction</w:t>
      </w:r>
    </w:p>
    <w:p>
      <w:pPr>
        <w:spacing w:after="80" w:before="80"/>
      </w:pPr>
      <w:r>
        <w:rPr>
          <w:rFonts w:ascii="Arial" w:cs="Arial" w:eastAsia="Arial" w:hAnsi="Arial"/>
          <w:color w:val="000000"/>
          <w:sz w:val="20"/>
          <w:szCs w:val="20"/>
        </w:rPr>
        <w:t xml:space="preserve">AnonReq is a self-hosted data anonymisation gateway that intercepts outbound LLM API calls from internal applications, detects and replaces sensitive data (PII, PHI, MNPI, financial identifiers) with context-preserving placeholder tokens, forwards the sanitised request to any supported external LLM provider, and restores original values in the response — all within the customer's secure perimeter. No raw sensitive data ever crosses the network boundary.</w:t>
      </w:r>
    </w:p>
    <w:p>
      <w:pPr>
        <w:spacing w:after="80" w:before="80"/>
      </w:pPr>
      <w:r>
        <w:rPr>
          <w:rFonts w:ascii="Arial" w:cs="Arial" w:eastAsia="Arial" w:hAnsi="Arial"/>
          <w:color w:val="000000"/>
          <w:sz w:val="20"/>
          <w:szCs w:val="20"/>
        </w:rPr>
        <w:t xml:space="preserve"/>
      </w:r>
    </w:p>
    <w:p>
      <w:pPr>
        <w:spacing w:after="80" w:before="80"/>
      </w:pPr>
      <w:r>
        <w:rPr>
          <w:rFonts w:ascii="Arial" w:cs="Arial" w:eastAsia="Arial" w:hAnsi="Arial"/>
          <w:color w:val="000000"/>
          <w:sz w:val="20"/>
          <w:szCs w:val="20"/>
        </w:rPr>
        <w:t xml:space="preserve">The product addresses a specific, well-documented regulatory risk: US-owned hyperscalers (AWS, Azure, GCP, OpenAI, Anthropic) are subject to the US CLOUD Act, which allows US authorities to compel disclosure of data stored on US-company infrastructure regardless of where that data physically resides. European financial institutions operating under GDPR, DORA, EBA ICT Guidelines, and national supervisory expectations (BaFin, FCA, Finansinspektionen) cannot rely on vendor contractual promises alone. AnonReq provides a cryptographic enforcement layer that makes the question of what the vendor promises irrelevant: the raw sensitive data never leaves the institution's perimeter.</w:t>
      </w:r>
    </w:p>
    <w:p>
      <w:pPr>
        <w:spacing w:after="80" w:before="80"/>
      </w:pPr>
      <w:r>
        <w:rPr>
          <w:rFonts w:ascii="Arial" w:cs="Arial" w:eastAsia="Arial" w:hAnsi="Arial"/>
          <w:color w:val="000000"/>
          <w:sz w:val="20"/>
          <w:szCs w:val="20"/>
        </w:rPr>
        <w:t xml:space="preserve"/>
      </w:r>
    </w:p>
    <w:p>
      <w:pPr>
        <w:spacing w:after="80" w:before="80"/>
      </w:pPr>
      <w:r>
        <w:rPr>
          <w:rFonts w:ascii="Arial" w:cs="Arial" w:eastAsia="Arial" w:hAnsi="Arial"/>
          <w:b/>
          <w:bCs/>
          <w:color w:val="000000"/>
          <w:sz w:val="20"/>
          <w:szCs w:val="20"/>
        </w:rPr>
        <w:t xml:space="preserve">The product is structured in three phases:</w:t>
      </w:r>
    </w:p>
    <w:p>
      <w:pPr>
        <w:pStyle w:val="ListParagraph"/>
        <w:numPr>
          <w:ilvl w:val="0"/>
          <w:numId w:val="2"/>
        </w:numPr>
        <w:spacing w:after="40" w:before="40"/>
      </w:pPr>
      <w:r>
        <w:rPr>
          <w:rFonts w:ascii="Arial" w:cs="Arial" w:eastAsia="Arial" w:hAnsi="Arial"/>
          <w:sz w:val="20"/>
          <w:szCs w:val="20"/>
        </w:rPr>
        <w:t xml:space="preserve">Phase 1 — Core Gateway: Self-hosted anonymisation proxy with fail-secure architecture, hybrid PII detection, streaming support, multi-provider routing, and compliance presets.</w:t>
      </w:r>
    </w:p>
    <w:p>
      <w:pPr>
        <w:pStyle w:val="ListParagraph"/>
        <w:numPr>
          <w:ilvl w:val="0"/>
          <w:numId w:val="2"/>
        </w:numPr>
        <w:spacing w:after="40" w:before="40"/>
      </w:pPr>
      <w:r>
        <w:rPr>
          <w:rFonts w:ascii="Arial" w:cs="Arial" w:eastAsia="Arial" w:hAnsi="Arial"/>
          <w:sz w:val="20"/>
          <w:szCs w:val="20"/>
        </w:rPr>
        <w:t xml:space="preserve">Phase 2 — Enterprise &amp; Financial Services: Network-layer appliance mode, multi-tenant isolation, high availability, financial-sector regulatory controls (DORA, MNPI, MRM, AML), AI Act compliance tooling, Nordic market (Finansinspektionen) support, and commercial model.</w:t>
      </w:r>
    </w:p>
    <w:p>
      <w:pPr>
        <w:pStyle w:val="ListParagraph"/>
        <w:numPr>
          <w:ilvl w:val="0"/>
          <w:numId w:val="2"/>
        </w:numPr>
        <w:spacing w:after="40" w:before="40"/>
      </w:pPr>
      <w:r>
        <w:rPr>
          <w:rFonts w:ascii="Arial" w:cs="Arial" w:eastAsia="Arial" w:hAnsi="Arial"/>
          <w:sz w:val="20"/>
          <w:szCs w:val="20"/>
        </w:rPr>
        <w:t xml:space="preserve">Phase 3 — Sovereign Voice AI: Native-language voice interface with human-like emotional prosody, operating entirely within the anonymisation perimeter.</w:t>
      </w:r>
    </w:p>
    <w:p>
      <w:pPr>
        <w:spacing w:after="80" w:before="80"/>
      </w:pPr>
      <w:r>
        <w:rPr>
          <w:rFonts w:ascii="Arial" w:cs="Arial" w:eastAsia="Arial" w:hAnsi="Arial"/>
          <w:color w:val="000000"/>
          <w:sz w:val="20"/>
          <w:szCs w:val="20"/>
        </w:rPr>
        <w:t xml:space="preserve"/>
      </w:r>
    </w:p>
    <w:p>
      <w:pPr>
        <w:spacing w:after="80" w:before="80"/>
      </w:pPr>
      <w:r>
        <w:rPr>
          <w:rFonts w:ascii="Arial" w:cs="Arial" w:eastAsia="Arial" w:hAnsi="Arial"/>
          <w:b/>
          <w:bCs/>
          <w:color w:val="000000"/>
          <w:sz w:val="20"/>
          <w:szCs w:val="20"/>
        </w:rPr>
        <w:t xml:space="preserve">Licensing:</w:t>
      </w:r>
    </w:p>
    <w:p>
      <w:pPr>
        <w:spacing w:after="80" w:before="80"/>
      </w:pPr>
      <w:r>
        <w:rPr>
          <w:rFonts w:ascii="Arial" w:cs="Arial" w:eastAsia="Arial" w:hAnsi="Arial"/>
          <w:color w:val="000000"/>
          <w:sz w:val="20"/>
          <w:szCs w:val="20"/>
        </w:rPr>
        <w:t xml:space="preserve">The core gateway (Phase 1) is released under Apache License 2.0. Commercial tiers (Phase 2 enterprise controls, Phase 3 Voice AI) are available under a separate commercial licence with SLA-backed support.</w:t>
      </w:r>
    </w:p>
    <w:p>
      <w:pPr>
        <w:spacing w:before="200"/>
      </w:pPr>
    </w:p>
    <w:p>
      <w:pPr>
        <w:pStyle w:val="Heading2"/>
        <w:spacing w:after="80" w:before="360"/>
      </w:pPr>
      <w:r>
        <w:rPr>
          <w:rFonts w:ascii="Arial" w:cs="Arial" w:eastAsia="Arial" w:hAnsi="Arial"/>
          <w:b/>
          <w:bCs/>
          <w:color w:val="2E6DA4"/>
          <w:sz w:val="26"/>
          <w:szCs w:val="2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6DA4" w:sz="4"/>
              <w:left w:val="single" w:color="2E6DA4" w:sz="4"/>
              <w:bottom w:val="single" w:color="2E6DA4" w:sz="4"/>
              <w:right w:val="single" w:color="2E6DA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2E6DA4" w:sz="4"/>
              <w:left w:val="single" w:color="2E6DA4" w:sz="4"/>
              <w:bottom w:val="single" w:color="2E6DA4" w:sz="4"/>
              <w:right w:val="single" w:color="2E6DA4"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Gateway</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The AnonReq proxy service that intercepts, sanitises, and restores LLM API traffic.</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Detection_Engine</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The subsystem that identifies sensitive entities in text using a hybrid regex and NER pipeline.</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Tokenization_Engine</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The subsystem that replaces detected entity spans with sequential typed placeholder tokens.</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Restoration_Engine</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The subsystem that substitutes placeholder tokens with original values in LLM responses.</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Cache_Manager</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The subsystem that stores and evicts per-request token-to-value mappings in an ephemeral in-memory store.</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Audit_Logger</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The subsystem that records metadata about anonymisation events without storing raw values.</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Provider_Adapter</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A format-translation layer that converts between the Gateway's internal representation and a specific LLM provider's API schema.</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Token</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A context-preserving placeholder of the form [TYPE_N] (e.g., [NAME_1], [EMAIL_1]) that replaces a detected entity in outbound text.</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Mapping</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The per-request, in-memory dictionary that associates each Token with its original value.</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Session_ID</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A cryptographically random UUID that scopes a Mapping to a single request-response lifecycle.</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TTL</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Time-to-live — the maximum duration (in seconds) a Mapping persists in the Cache_Manager before automatic eviction.</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Locale</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A language and jurisdiction configuration (e.g., de-DE, fr-FR, ar-SA) that selects locale-specific PII recognisers.</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Compliance_Preset</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A named, pre-configured set of entity types and detection thresholds aligned with a specific data protection regulation.</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Fail-Secure</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The property that any internal error causes the Gateway to block the request and return an error rather than forwarding unsanitised data.</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PII</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Personally Identifiable Information — any data that can identify a natural person.</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PHI</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Protected Health Information — a subset of PII covered by healthcare regulations (e.g., HIPAA, NHS data standards).</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NER</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Named Entity Recognition — a machine learning technique for identifying entity types in unstructured text.</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SSE</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Server-Sent Events — the streaming protocol used by OpenAI, Anthropic, and Gemini APIs to deliver LLM output token-by-token.</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Exclusion_List</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A configured set of terms that the Detection_Engine must never flag as PII (e.g., product names, internal system identifiers).</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Confidence_Threshold</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The minimum detection confidence score (0.0–1.0) required for an entity to be tokenised.</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Round-Trip</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The property that anonymisation followed by de-anonymisation returns semantically equivalent content.</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Tail_Buffer</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A small retained suffix of the most recently emitted SSE chunk used to handle Tokens that span chunk boundaries.</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MNPI</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Material Non-Public Information — price-sensitive data whose disclosure before public release constitutes insider dealing.</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Tenant_ID</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A unique identifier scoping configuration, audit logs, mappings, and metrics to a single customer or business unit.</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Voice_Engine</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Phase 3 subsystem responsible for STT ingestion, TTS synthesis, and emotion-aware prosody modelling.</w:t>
            </w:r>
          </w:p>
        </w:tc>
      </w:tr>
      <w:tr>
        <w:tc>
          <w:tcPr>
            <w:tcW w:type="dxa" w:w="280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b/>
                <w:bCs/>
                <w:color w:val="1B3A6B"/>
                <w:sz w:val="18"/>
                <w:szCs w:val="18"/>
              </w:rPr>
              <w:t xml:space="preserve">Appliance_Mode</w:t>
            </w:r>
          </w:p>
        </w:tc>
        <w:tc>
          <w:tcPr>
            <w:tcW w:type="dxa" w:w="6560"/>
            <w:tcBorders>
              <w:top w:val="single" w:color="BFCFDF" w:sz="4"/>
              <w:left w:val="single" w:color="BFCFDF" w:sz="4"/>
              <w:bottom w:val="single" w:color="BFCFDF" w:sz="4"/>
              <w:right w:val="single" w:color="BFCFDF" w:sz="4"/>
            </w:tcBorders>
            <w:shd w:fill="FFFFFF" w:val="clear"/>
            <w:tcMar>
              <w:top w:type="dxa" w:w="60"/>
              <w:left w:type="dxa" w:w="120"/>
              <w:bottom w:type="dxa" w:w="60"/>
              <w:right w:type="dxa" w:w="120"/>
            </w:tcMar>
          </w:tcPr>
          <w:p>
            <w:r>
              <w:rPr>
                <w:rFonts w:ascii="Arial" w:cs="Arial" w:eastAsia="Arial" w:hAnsi="Arial"/>
                <w:sz w:val="18"/>
                <w:szCs w:val="18"/>
              </w:rPr>
              <w:t xml:space="preserve">A deployment topology in which the Gateway operates as a network-layer device intercepting all outbound LLM traffic without requiring application code changes.</w:t>
            </w:r>
          </w:p>
        </w:tc>
      </w:tr>
      <w:tr>
        <w:tc>
          <w:tcPr>
            <w:tcW w:type="dxa" w:w="280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b/>
                <w:bCs/>
                <w:color w:val="1B3A6B"/>
                <w:sz w:val="18"/>
                <w:szCs w:val="18"/>
              </w:rPr>
              <w:t xml:space="preserve">Finansinspektionen (FI)</w:t>
            </w:r>
          </w:p>
        </w:tc>
        <w:tc>
          <w:tcPr>
            <w:tcW w:type="dxa" w:w="6560"/>
            <w:tcBorders>
              <w:top w:val="single" w:color="BFCFDF" w:sz="4"/>
              <w:left w:val="single" w:color="BFCFDF" w:sz="4"/>
              <w:bottom w:val="single" w:color="BFCFDF" w:sz="4"/>
              <w:right w:val="single" w:color="BFCFDF" w:sz="4"/>
            </w:tcBorders>
            <w:shd w:fill="D9E8F5" w:val="clear"/>
            <w:tcMar>
              <w:top w:type="dxa" w:w="60"/>
              <w:left w:type="dxa" w:w="120"/>
              <w:bottom w:type="dxa" w:w="60"/>
              <w:right w:type="dxa" w:w="120"/>
            </w:tcMar>
          </w:tcPr>
          <w:p>
            <w:r>
              <w:rPr>
                <w:rFonts w:ascii="Arial" w:cs="Arial" w:eastAsia="Arial" w:hAnsi="Arial"/>
                <w:sz w:val="18"/>
                <w:szCs w:val="18"/>
              </w:rPr>
              <w:t xml:space="preserve">Sweden's Financial Supervisory Authority, whose AI and data governance expectations apply to institutions in the Nordic market.</w:t>
            </w:r>
          </w:p>
        </w:tc>
      </w:tr>
    </w:tbl>
    <w:p>
      <w:r>
        <w:br w:type="page"/>
      </w:r>
    </w:p>
    <w:p>
      <w:pPr>
        <w:pStyle w:val="Heading1"/>
        <w:pBdr>
          <w:bottom w:val="single" w:color="1B3A6B" w:sz="8" w:space="4"/>
        </w:pBdr>
        <w:spacing w:after="120" w:before="480"/>
      </w:pPr>
      <w:r>
        <w:rPr>
          <w:rFonts w:ascii="Arial" w:cs="Arial" w:eastAsia="Arial" w:hAnsi="Arial"/>
          <w:b/>
          <w:bCs/>
          <w:color w:val="1B3A6B"/>
          <w:sz w:val="32"/>
          <w:szCs w:val="32"/>
        </w:rPr>
        <w:t xml:space="preserve">Phase 1 — Core Gateway</w:t>
      </w:r>
    </w:p>
    <w:p>
      <w:pPr>
        <w:spacing w:after="100" w:before="60"/>
      </w:pPr>
      <w:r>
        <w:rPr>
          <w:rFonts w:ascii="Arial" w:cs="Arial" w:eastAsia="Arial" w:hAnsi="Arial"/>
          <w:i/>
          <w:iCs/>
          <w:color w:val="5A6B7A"/>
          <w:sz w:val="18"/>
          <w:szCs w:val="18"/>
        </w:rPr>
        <w:t xml:space="preserve">Requirements 1–16 define the open-source Apache 2.0 core. All Phase 1 requirements must be met before any Phase 2 or Phase 3 feature is shipped.</w:t>
      </w:r>
    </w:p>
    <w:p>
      <w:pPr>
        <w:spacing w:before="100"/>
      </w:pPr>
    </w:p>
    <w:p>
      <w:pPr>
        <w:pStyle w:val="Heading2"/>
        <w:spacing w:after="80" w:before="360"/>
      </w:pPr>
      <w:r>
        <w:rPr>
          <w:rFonts w:ascii="Arial" w:cs="Arial" w:eastAsia="Arial" w:hAnsi="Arial"/>
          <w:b/>
          <w:bCs/>
          <w:color w:val="2E6DA4"/>
          <w:sz w:val="26"/>
          <w:szCs w:val="26"/>
        </w:rPr>
        <w:t xml:space="preserve">Requirement 1: Core Anonymisation Pipeline (Non-Streaming)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an enterprise developer, I want to route my existing LLM API calls through AnonReq by changing only the base_url, so that my application automatically operates within regulatory compliance without any other code changes.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expose a POST /v1/chat/completions endpoint that accepts an OpenAI-compatible request payload including model, messages, temperature, max_tokens, and stream fields, and SHALL return HTTP 400 with a structured error body for any request payload that does not conform to this schema.</w:t>
      </w:r>
    </w:p>
    <w:p>
      <w:pPr>
        <w:pStyle w:val="ListParagraph"/>
        <w:numPr>
          <w:ilvl w:val="0"/>
          <w:numId w:val="3"/>
        </w:numPr>
        <w:spacing w:after="60" w:before="60"/>
      </w:pPr>
      <w:r>
        <w:rPr>
          <w:rFonts w:ascii="Arial" w:cs="Arial" w:eastAsia="Arial" w:hAnsi="Arial"/>
          <w:sz w:val="20"/>
          <w:szCs w:val="20"/>
        </w:rPr>
        <w:t xml:space="preserve">WHEN a non-streaming request is received, THE Detection_Engine SHALL scan all text content across all message roles (system, user, assistant, tool, function) for sensitive entities before any content is forwarded to an external provider.</w:t>
      </w:r>
    </w:p>
    <w:p>
      <w:pPr>
        <w:pStyle w:val="ListParagraph"/>
        <w:numPr>
          <w:ilvl w:val="0"/>
          <w:numId w:val="3"/>
        </w:numPr>
        <w:spacing w:after="60" w:before="60"/>
      </w:pPr>
      <w:r>
        <w:rPr>
          <w:rFonts w:ascii="Arial" w:cs="Arial" w:eastAsia="Arial" w:hAnsi="Arial"/>
          <w:sz w:val="20"/>
          <w:szCs w:val="20"/>
        </w:rPr>
        <w:t xml:space="preserve">IF the Detection_Engine returns an error or is unreachable, THEN THE Gateway SHALL return HTTP 500 and SHALL NOT forward any part of the original request to the external provider.</w:t>
      </w:r>
    </w:p>
    <w:p>
      <w:pPr>
        <w:pStyle w:val="ListParagraph"/>
        <w:numPr>
          <w:ilvl w:val="0"/>
          <w:numId w:val="3"/>
        </w:numPr>
        <w:spacing w:after="60" w:before="60"/>
      </w:pPr>
      <w:r>
        <w:rPr>
          <w:rFonts w:ascii="Arial" w:cs="Arial" w:eastAsia="Arial" w:hAnsi="Arial"/>
          <w:sz w:val="20"/>
          <w:szCs w:val="20"/>
        </w:rPr>
        <w:t xml:space="preserve">IF the Cache_Manager is unreachable when a Mapping write is attempted, THEN THE Gateway SHALL return HTTP 500 and SHALL NOT forward any part of the original request to the external provider.</w:t>
      </w:r>
    </w:p>
    <w:p>
      <w:pPr>
        <w:pStyle w:val="ListParagraph"/>
        <w:numPr>
          <w:ilvl w:val="0"/>
          <w:numId w:val="3"/>
        </w:numPr>
        <w:spacing w:after="60" w:before="60"/>
      </w:pPr>
      <w:r>
        <w:rPr>
          <w:rFonts w:ascii="Arial" w:cs="Arial" w:eastAsia="Arial" w:hAnsi="Arial"/>
          <w:sz w:val="20"/>
          <w:szCs w:val="20"/>
        </w:rPr>
        <w:t xml:space="preserve">WHEN tokenisation completes without error, THE Tokenization_Engine SHALL produce a modified request payload in which every detected entity span has been replaced by its corresponding Token, with all other payload fields preserved verbatim.</w:t>
      </w:r>
    </w:p>
    <w:p>
      <w:pPr>
        <w:pStyle w:val="ListParagraph"/>
        <w:numPr>
          <w:ilvl w:val="0"/>
          <w:numId w:val="3"/>
        </w:numPr>
        <w:spacing w:after="60" w:before="60"/>
      </w:pPr>
      <w:r>
        <w:rPr>
          <w:rFonts w:ascii="Arial" w:cs="Arial" w:eastAsia="Arial" w:hAnsi="Arial"/>
          <w:sz w:val="20"/>
          <w:szCs w:val="20"/>
        </w:rPr>
        <w:t xml:space="preserve">WHEN the external provider returns a response, THE Restoration_Engine SHALL replace every Token present in all text-bearing response fields (including content, tool_calls arguments, and refusal fields) with its original value retrieved from the Mapping before delivering the response to the caller.</w:t>
      </w:r>
    </w:p>
    <w:p>
      <w:pPr>
        <w:pStyle w:val="ListParagraph"/>
        <w:numPr>
          <w:ilvl w:val="0"/>
          <w:numId w:val="3"/>
        </w:numPr>
        <w:spacing w:after="60" w:before="60"/>
      </w:pPr>
      <w:r>
        <w:rPr>
          <w:rFonts w:ascii="Arial" w:cs="Arial" w:eastAsia="Arial" w:hAnsi="Arial"/>
          <w:sz w:val="20"/>
          <w:szCs w:val="20"/>
        </w:rPr>
        <w:t xml:space="preserve">IF a Token appears in the LLM response that is not present in the current session's Mapping, THEN THE Restoration_Engine SHALL leave the Token as-is in the response and SHALL emit a structured warning log entry containing only the Session_ID and the unmatched Token string.</w:t>
      </w:r>
    </w:p>
    <w:p>
      <w:pPr>
        <w:pStyle w:val="ListParagraph"/>
        <w:numPr>
          <w:ilvl w:val="0"/>
          <w:numId w:val="3"/>
        </w:numPr>
        <w:spacing w:after="60" w:before="60"/>
      </w:pPr>
      <w:r>
        <w:rPr>
          <w:rFonts w:ascii="Arial" w:cs="Arial" w:eastAsia="Arial" w:hAnsi="Arial"/>
          <w:sz w:val="20"/>
          <w:szCs w:val="20"/>
        </w:rPr>
        <w:t xml:space="preserve">WHEN response delivery is complete, THE Cache_Manager SHALL delete the Mapping for the current Session_ID within 100ms of the response being fully written to the client connection.</w:t>
      </w:r>
    </w:p>
    <w:p>
      <w:pPr>
        <w:pStyle w:val="ListParagraph"/>
        <w:numPr>
          <w:ilvl w:val="0"/>
          <w:numId w:val="3"/>
        </w:numPr>
        <w:spacing w:after="60" w:before="60"/>
      </w:pPr>
      <w:r>
        <w:rPr>
          <w:rFonts w:ascii="Arial" w:cs="Arial" w:eastAsia="Arial" w:hAnsi="Arial"/>
          <w:sz w:val="20"/>
          <w:szCs w:val="20"/>
        </w:rPr>
        <w:t xml:space="preserve">THE Gateway SHALL enforce a processing overhead — measured from request receipt to the first byte forwarded to the external provider — of no more than 100ms at the 95th percentile for prompts containing 1,000 words or fewer.</w:t>
      </w:r>
    </w:p>
    <w:p>
      <w:pPr>
        <w:pStyle w:val="ListParagraph"/>
        <w:numPr>
          <w:ilvl w:val="0"/>
          <w:numId w:val="3"/>
        </w:numPr>
        <w:spacing w:after="60" w:before="60"/>
      </w:pPr>
      <w:r>
        <w:rPr>
          <w:rFonts w:ascii="Arial" w:cs="Arial" w:eastAsia="Arial" w:hAnsi="Arial"/>
          <w:sz w:val="20"/>
          <w:szCs w:val="20"/>
        </w:rPr>
        <w:t xml:space="preserve">THE Gateway SHALL accept valid request payloads and produce valid anonymised-and-restored responses, ensuring that every Token inserted by the Tokenization_Engine has been replaced by its original value in the delivered response (round-trip correctness property).</w:t>
      </w:r>
    </w:p>
    <w:p>
      <w:pPr>
        <w:pStyle w:val="ListParagraph"/>
        <w:numPr>
          <w:ilvl w:val="0"/>
          <w:numId w:val="3"/>
        </w:numPr>
        <w:spacing w:after="60" w:before="60"/>
      </w:pPr>
      <w:r>
        <w:rPr>
          <w:rFonts w:ascii="Arial" w:cs="Arial" w:eastAsia="Arial" w:hAnsi="Arial"/>
          <w:sz w:val="20"/>
          <w:szCs w:val="20"/>
        </w:rPr>
        <w:t xml:space="preserve">IF the Cache_Manager is unreachable when a Mapping read is attempted during restoration, THEN THE Gateway SHALL return HTTP 500 to the caller and SHALL NOT deliver any partial response containing unreplaced Tokens.</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 Fail-Secure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Chief Information Security Officer, I want a cryptographic guarantee that raw sensitive data can never reach an external LLM provider even if an internal component fails, so that I can present AnonReq to our regulators as a data sovereignty enforcement layer rather than a best-effort filter.</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WHEN an unhandled exception propagates through the request processing pipeline, THE Gateway SHALL return HTTP 500 to the caller and SHALL NOT forward any content to the external provider.</w:t>
      </w:r>
    </w:p>
    <w:p>
      <w:pPr>
        <w:pStyle w:val="ListParagraph"/>
        <w:numPr>
          <w:ilvl w:val="0"/>
          <w:numId w:val="3"/>
        </w:numPr>
        <w:spacing w:after="60" w:before="60"/>
      </w:pPr>
      <w:r>
        <w:rPr>
          <w:rFonts w:ascii="Arial" w:cs="Arial" w:eastAsia="Arial" w:hAnsi="Arial"/>
          <w:sz w:val="20"/>
          <w:szCs w:val="20"/>
        </w:rPr>
        <w:t xml:space="preserve">WHEN the Detection_Engine fails a health probe (failure to respond to a synthetic detect call within the configured detection timeout), THE Gateway SHALL reject all incoming requests with HTTP 500 and SHALL log a structured alert containing the timestamp, component name, and failure reason.</w:t>
      </w:r>
    </w:p>
    <w:p>
      <w:pPr>
        <w:pStyle w:val="ListParagraph"/>
        <w:numPr>
          <w:ilvl w:val="0"/>
          <w:numId w:val="3"/>
        </w:numPr>
        <w:spacing w:after="60" w:before="60"/>
      </w:pPr>
      <w:r>
        <w:rPr>
          <w:rFonts w:ascii="Arial" w:cs="Arial" w:eastAsia="Arial" w:hAnsi="Arial"/>
          <w:sz w:val="20"/>
          <w:szCs w:val="20"/>
        </w:rPr>
        <w:t xml:space="preserve">WHEN the Cache_Manager fails a health probe (failure to respond to a PING command within 200ms), THE Gateway SHALL reject all incoming requests with HTTP 500 and SHALL log a structured alert.</w:t>
      </w:r>
    </w:p>
    <w:p>
      <w:pPr>
        <w:pStyle w:val="ListParagraph"/>
        <w:numPr>
          <w:ilvl w:val="0"/>
          <w:numId w:val="3"/>
        </w:numPr>
        <w:spacing w:after="60" w:before="60"/>
      </w:pPr>
      <w:r>
        <w:rPr>
          <w:rFonts w:ascii="Arial" w:cs="Arial" w:eastAsia="Arial" w:hAnsi="Arial"/>
          <w:sz w:val="20"/>
          <w:szCs w:val="20"/>
        </w:rPr>
        <w:t xml:space="preserve">IF a detection pipeline timeout occurs that exceeds the configured maximum detection latency (default 100ms, configurable), THEN THE Gateway SHALL return HTTP 504 to the caller and SHALL NOT forward the request.</w:t>
      </w:r>
    </w:p>
    <w:p>
      <w:pPr>
        <w:pStyle w:val="ListParagraph"/>
        <w:numPr>
          <w:ilvl w:val="0"/>
          <w:numId w:val="3"/>
        </w:numPr>
        <w:spacing w:after="60" w:before="60"/>
      </w:pPr>
      <w:r>
        <w:rPr>
          <w:rFonts w:ascii="Arial" w:cs="Arial" w:eastAsia="Arial" w:hAnsi="Arial"/>
          <w:sz w:val="20"/>
          <w:szCs w:val="20"/>
        </w:rPr>
        <w:t xml:space="preserve">THE Gateway SHALL expose a GET /health endpoint that returns HTTP 200 with {"status": "ok"} only when Detection_Engine (NER model loaded and responsive) and Cache_Manager (reachable and accepting writes within 200ms) both report healthy.</w:t>
      </w:r>
    </w:p>
    <w:p>
      <w:pPr>
        <w:pStyle w:val="ListParagraph"/>
        <w:numPr>
          <w:ilvl w:val="0"/>
          <w:numId w:val="3"/>
        </w:numPr>
        <w:spacing w:after="60" w:before="60"/>
      </w:pPr>
      <w:r>
        <w:rPr>
          <w:rFonts w:ascii="Arial" w:cs="Arial" w:eastAsia="Arial" w:hAnsi="Arial"/>
          <w:sz w:val="20"/>
          <w:szCs w:val="20"/>
        </w:rPr>
        <w:t xml:space="preserve">WHEN any component fails its health probe, THE GET /health endpoint SHALL return HTTP 503 with a JSON body containing {"status": "degraded", "components": {"&lt;name&gt;": "&lt;reason&gt;"}}.</w:t>
      </w:r>
    </w:p>
    <w:p>
      <w:pPr>
        <w:pStyle w:val="ListParagraph"/>
        <w:numPr>
          <w:ilvl w:val="0"/>
          <w:numId w:val="3"/>
        </w:numPr>
        <w:spacing w:after="60" w:before="60"/>
      </w:pPr>
      <w:r>
        <w:rPr>
          <w:rFonts w:ascii="Arial" w:cs="Arial" w:eastAsia="Arial" w:hAnsi="Arial"/>
          <w:sz w:val="20"/>
          <w:szCs w:val="20"/>
        </w:rPr>
        <w:t xml:space="preserve">WHEN the Gateway process starts, it SHALL perform a pre-flight health probe of all required components and SHALL refuse to bind to its listening port until all required components have passed their health probes, with a configurable startup timeout (default 60 seconds) after which the process exits with a non-zero status code.</w:t>
      </w:r>
    </w:p>
    <w:p>
      <w:pPr>
        <w:pStyle w:val="ListParagraph"/>
        <w:numPr>
          <w:ilvl w:val="0"/>
          <w:numId w:val="3"/>
        </w:numPr>
        <w:spacing w:after="60" w:before="60"/>
      </w:pPr>
      <w:r>
        <w:rPr>
          <w:rFonts w:ascii="Arial" w:cs="Arial" w:eastAsia="Arial" w:hAnsi="Arial"/>
          <w:sz w:val="20"/>
          <w:szCs w:val="20"/>
        </w:rPr>
        <w:t xml:space="preserve">THE Gateway SHALL produce either a valid anonymised-and-restored response or an HTTP error response (4xx or 5xx) for every request — where 'raw sensitive data' means any substring from the original request payload identified as a detectable entity (fail-secure completeness property).</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 Hybrid PII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Data Protection Officer, I want the gateway to detect both structured PII (IBANs, tax IDs, credit card numbers) and unstructured PII (names, addresses, relationships) in a single pipeline, so that the detection coverage is comprehensive and verifiable against our data inventory.</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Detection_Engine SHALL support a regex-based recogniser tier detecting: email address, phone number (E.164 and national formats), credit card number (Luhn validated), IBAN (format and country prefix validated), IPv4 address, IPv6 address, URL, date of birth, national identification numbers (per active Locale), SWIFT/BIC code, and cryptocurrency wallet address.</w:t>
      </w:r>
    </w:p>
    <w:p>
      <w:pPr>
        <w:pStyle w:val="ListParagraph"/>
        <w:numPr>
          <w:ilvl w:val="0"/>
          <w:numId w:val="3"/>
        </w:numPr>
        <w:spacing w:after="60" w:before="60"/>
      </w:pPr>
      <w:r>
        <w:rPr>
          <w:rFonts w:ascii="Arial" w:cs="Arial" w:eastAsia="Arial" w:hAnsi="Arial"/>
          <w:sz w:val="20"/>
          <w:szCs w:val="20"/>
        </w:rPr>
        <w:t xml:space="preserve">THE Detection_Engine SHALL support an NER-based recogniser tier detecting: person name, organisation name, street address, city/region name, and job title.</w:t>
      </w:r>
    </w:p>
    <w:p>
      <w:pPr>
        <w:pStyle w:val="ListParagraph"/>
        <w:numPr>
          <w:ilvl w:val="0"/>
          <w:numId w:val="3"/>
        </w:numPr>
        <w:spacing w:after="60" w:before="60"/>
      </w:pPr>
      <w:r>
        <w:rPr>
          <w:rFonts w:ascii="Arial" w:cs="Arial" w:eastAsia="Arial" w:hAnsi="Arial"/>
          <w:sz w:val="20"/>
          <w:szCs w:val="20"/>
        </w:rPr>
        <w:t xml:space="preserve">WHEN both tiers produce overlapping entity spans, THE Detection_Engine SHALL resolve the conflict by retaining the regex result and discarding the NER result for the entire overlapping region.</w:t>
      </w:r>
    </w:p>
    <w:p>
      <w:pPr>
        <w:pStyle w:val="ListParagraph"/>
        <w:numPr>
          <w:ilvl w:val="0"/>
          <w:numId w:val="3"/>
        </w:numPr>
        <w:spacing w:after="60" w:before="60"/>
      </w:pPr>
      <w:r>
        <w:rPr>
          <w:rFonts w:ascii="Arial" w:cs="Arial" w:eastAsia="Arial" w:hAnsi="Arial"/>
          <w:sz w:val="20"/>
          <w:szCs w:val="20"/>
        </w:rPr>
        <w:t xml:space="preserve">THE Detection_Engine SHALL apply a configurable Confidence_Threshold (0.0–1.0, default 0.7) per entity type. WHEN a detected entity's confidence score is below the threshold, THE Detection_Engine SHALL exclude that entity from results.</w:t>
      </w:r>
    </w:p>
    <w:p>
      <w:pPr>
        <w:pStyle w:val="ListParagraph"/>
        <w:numPr>
          <w:ilvl w:val="0"/>
          <w:numId w:val="3"/>
        </w:numPr>
        <w:spacing w:after="60" w:before="60"/>
      </w:pPr>
      <w:r>
        <w:rPr>
          <w:rFonts w:ascii="Arial" w:cs="Arial" w:eastAsia="Arial" w:hAnsi="Arial"/>
          <w:sz w:val="20"/>
          <w:szCs w:val="20"/>
        </w:rPr>
        <w:t xml:space="preserve">THE Detection_Engine SHALL load an Exclusion_List from configuration at startup. WHEN a detected entity's value exactly matches any Exclusion_List entry (after case-folding and whitespace stripping), THE Detection_Engine SHALL exclude that entity.</w:t>
      </w:r>
    </w:p>
    <w:p>
      <w:pPr>
        <w:pStyle w:val="ListParagraph"/>
        <w:numPr>
          <w:ilvl w:val="0"/>
          <w:numId w:val="3"/>
        </w:numPr>
        <w:spacing w:after="60" w:before="60"/>
      </w:pPr>
      <w:r>
        <w:rPr>
          <w:rFonts w:ascii="Arial" w:cs="Arial" w:eastAsia="Arial" w:hAnsi="Arial"/>
          <w:sz w:val="20"/>
          <w:szCs w:val="20"/>
        </w:rPr>
        <w:t xml:space="preserve">WHERE a custom regex pattern is defined in configuration for a named entity type, THE Detection_Engine SHALL apply that pattern in addition to built-in recognisers for that type.</w:t>
      </w:r>
    </w:p>
    <w:p>
      <w:pPr>
        <w:pStyle w:val="ListParagraph"/>
        <w:numPr>
          <w:ilvl w:val="0"/>
          <w:numId w:val="3"/>
        </w:numPr>
        <w:spacing w:after="60" w:before="60"/>
      </w:pPr>
      <w:r>
        <w:rPr>
          <w:rFonts w:ascii="Arial" w:cs="Arial" w:eastAsia="Arial" w:hAnsi="Arial"/>
          <w:sz w:val="20"/>
          <w:szCs w:val="20"/>
        </w:rPr>
        <w:t xml:space="preserve">THE Detection_Engine SHALL scan all text fields in the request payload, including system, user, assistant, tool/function call arguments, and tool result content. IF the request payload contains additional text fields, THE Detection_Engine SHALL apply the same detection pipeline to those fields.</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4: Context-Preserving Tokenisation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an enterprise developer, I want PII to be replaced with labelled placeholders that preserve the entity type and unique index, so that the LLM can reason about the structure of the prompt without seeing the raw values.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Tokenization_Engine SHALL replace each detected entity span with a Token of the form [TYPE_N], where TYPE is an uppercase ASCII string (1–20 letters) and N is a positive integer representing the occurrence index for that type within the request.</w:t>
      </w:r>
    </w:p>
    <w:p>
      <w:pPr>
        <w:pStyle w:val="ListParagraph"/>
        <w:numPr>
          <w:ilvl w:val="0"/>
          <w:numId w:val="3"/>
        </w:numPr>
        <w:spacing w:after="60" w:before="60"/>
      </w:pPr>
      <w:r>
        <w:rPr>
          <w:rFonts w:ascii="Arial" w:cs="Arial" w:eastAsia="Arial" w:hAnsi="Arial"/>
          <w:sz w:val="20"/>
          <w:szCs w:val="20"/>
        </w:rPr>
        <w:t xml:space="preserve">WHEN the same raw entity value (byte-for-byte after Unicode NFC normalisation) appears more than once, THE Tokenization_Engine SHALL assign the same Token to all occurrences.</w:t>
      </w:r>
    </w:p>
    <w:p>
      <w:pPr>
        <w:pStyle w:val="ListParagraph"/>
        <w:numPr>
          <w:ilvl w:val="0"/>
          <w:numId w:val="3"/>
        </w:numPr>
        <w:spacing w:after="60" w:before="60"/>
      </w:pPr>
      <w:r>
        <w:rPr>
          <w:rFonts w:ascii="Arial" w:cs="Arial" w:eastAsia="Arial" w:hAnsi="Arial"/>
          <w:sz w:val="20"/>
          <w:szCs w:val="20"/>
        </w:rPr>
        <w:t xml:space="preserve">WHEN two different entity values of the same type appear, THE Tokenization_Engine SHALL assign different Tokens with distinct indices (e.g., [NAME_1] and [NAME_2]).</w:t>
      </w:r>
    </w:p>
    <w:p>
      <w:pPr>
        <w:pStyle w:val="ListParagraph"/>
        <w:numPr>
          <w:ilvl w:val="0"/>
          <w:numId w:val="3"/>
        </w:numPr>
        <w:spacing w:after="60" w:before="60"/>
      </w:pPr>
      <w:r>
        <w:rPr>
          <w:rFonts w:ascii="Arial" w:cs="Arial" w:eastAsia="Arial" w:hAnsi="Arial"/>
          <w:sz w:val="20"/>
          <w:szCs w:val="20"/>
        </w:rPr>
        <w:t xml:space="preserve">THE Tokenization_Engine SHALL perform entity replacement in reverse character-offset order (highest start position first) to prevent position drift.</w:t>
      </w:r>
    </w:p>
    <w:p>
      <w:pPr>
        <w:pStyle w:val="ListParagraph"/>
        <w:numPr>
          <w:ilvl w:val="0"/>
          <w:numId w:val="3"/>
        </w:numPr>
        <w:spacing w:after="60" w:before="60"/>
      </w:pPr>
      <w:r>
        <w:rPr>
          <w:rFonts w:ascii="Arial" w:cs="Arial" w:eastAsia="Arial" w:hAnsi="Arial"/>
          <w:sz w:val="20"/>
          <w:szCs w:val="20"/>
        </w:rPr>
        <w:t xml:space="preserve">THE Tokenization_Engine SHALL preserve all whitespace, punctuation, and formatting immediately adjacent to replaced spans exactly as received.</w:t>
      </w:r>
    </w:p>
    <w:p>
      <w:pPr>
        <w:pStyle w:val="ListParagraph"/>
        <w:numPr>
          <w:ilvl w:val="0"/>
          <w:numId w:val="3"/>
        </w:numPr>
        <w:spacing w:after="60" w:before="60"/>
      </w:pPr>
      <w:r>
        <w:rPr>
          <w:rFonts w:ascii="Arial" w:cs="Arial" w:eastAsia="Arial" w:hAnsi="Arial"/>
          <w:sz w:val="20"/>
          <w:szCs w:val="20"/>
        </w:rPr>
        <w:t xml:space="preserve">THE Tokenization_Engine SHALL store the complete Mapping keyed by anonreq:{Session_ID} in the Cache_Manager with a TTL in the range [60, 3600] seconds (default 300) before forwarding the request. IF the Cache_Manager write fails, THE Tokenization_Engine SHALL return an error and SHALL NOT forward the request.</w:t>
      </w:r>
    </w:p>
    <w:p>
      <w:pPr>
        <w:pStyle w:val="ListParagraph"/>
        <w:numPr>
          <w:ilvl w:val="0"/>
          <w:numId w:val="3"/>
        </w:numPr>
        <w:spacing w:after="60" w:before="60"/>
      </w:pPr>
      <w:r>
        <w:rPr>
          <w:rFonts w:ascii="Arial" w:cs="Arial" w:eastAsia="Arial" w:hAnsi="Arial"/>
          <w:sz w:val="20"/>
          <w:szCs w:val="20"/>
        </w:rPr>
        <w:t xml:space="preserve">FOR ALL inputs containing N distinct entity values of the same type, THE Tokenization_Engine SHALL produce exactly N distinct Tokens with indices 1 through N in order of first appearance (uniqueness invariant).</w:t>
      </w:r>
    </w:p>
    <w:p>
      <w:pPr>
        <w:pStyle w:val="ListParagraph"/>
        <w:numPr>
          <w:ilvl w:val="0"/>
          <w:numId w:val="3"/>
        </w:numPr>
        <w:spacing w:after="60" w:before="60"/>
      </w:pPr>
      <w:r>
        <w:rPr>
          <w:rFonts w:ascii="Arial" w:cs="Arial" w:eastAsia="Arial" w:hAnsi="Arial"/>
          <w:sz w:val="20"/>
          <w:szCs w:val="20"/>
        </w:rPr>
        <w:t xml:space="preserve">FOR ALL inputs where the same entity value appears K times, THE Tokenization_Engine SHALL use exactly one Token for that value in the Mapping (deduplication invariant).</w:t>
      </w:r>
    </w:p>
    <w:p>
      <w:pPr>
        <w:pStyle w:val="ListParagraph"/>
        <w:numPr>
          <w:ilvl w:val="0"/>
          <w:numId w:val="3"/>
        </w:numPr>
        <w:spacing w:after="60" w:before="60"/>
      </w:pPr>
      <w:r>
        <w:rPr>
          <w:rFonts w:ascii="Arial" w:cs="Arial" w:eastAsia="Arial" w:hAnsi="Arial"/>
          <w:sz w:val="20"/>
          <w:szCs w:val="20"/>
        </w:rPr>
        <w:t xml:space="preserve">WHEN a request payload contains no detected entities, THE Tokenization_Engine SHALL forward the request unchanged and SHALL NOT create a Mapping entry in the Cache_Manager.</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5: Ephemeral Mapping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security architect, I want the token-to-value mapping to exist only in RAM during a single request-response lifecycle and to be provably deleted afterward, so that a server seizure or disk forensics investigation cannot recover any sensitive values.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Cache_Manager SHALL store all Mappings in a Valkey (or Redis-compatible) instance configured with persistence disabled (save "", no AOF, no RDB snapshots) so that no Mapping data is ever written to disk.</w:t>
      </w:r>
    </w:p>
    <w:p>
      <w:pPr>
        <w:pStyle w:val="ListParagraph"/>
        <w:numPr>
          <w:ilvl w:val="0"/>
          <w:numId w:val="3"/>
        </w:numPr>
        <w:spacing w:after="60" w:before="60"/>
      </w:pPr>
      <w:r>
        <w:rPr>
          <w:rFonts w:ascii="Arial" w:cs="Arial" w:eastAsia="Arial" w:hAnsi="Arial"/>
          <w:sz w:val="20"/>
          <w:szCs w:val="20"/>
        </w:rPr>
        <w:t xml:space="preserve">THE Cache_Manager SHALL configure the in-memory store with a maxmemory value of at least 256 MB and the allkeys-lru eviction policy so that orphaned Mappings are evicted under memory pressure.</w:t>
      </w:r>
    </w:p>
    <w:p>
      <w:pPr>
        <w:pStyle w:val="ListParagraph"/>
        <w:numPr>
          <w:ilvl w:val="0"/>
          <w:numId w:val="3"/>
        </w:numPr>
        <w:spacing w:after="60" w:before="60"/>
      </w:pPr>
      <w:r>
        <w:rPr>
          <w:rFonts w:ascii="Arial" w:cs="Arial" w:eastAsia="Arial" w:hAnsi="Arial"/>
          <w:sz w:val="20"/>
          <w:szCs w:val="20"/>
        </w:rPr>
        <w:t xml:space="preserve">THE Cache_Manager SHALL disable monitoring commands (MONITOR, SLOWLOG, keyspace notifications) to prevent Mapping data from leaking into operational tooling.</w:t>
      </w:r>
    </w:p>
    <w:p>
      <w:pPr>
        <w:pStyle w:val="ListParagraph"/>
        <w:numPr>
          <w:ilvl w:val="0"/>
          <w:numId w:val="3"/>
        </w:numPr>
        <w:spacing w:after="60" w:before="60"/>
      </w:pPr>
      <w:r>
        <w:rPr>
          <w:rFonts w:ascii="Arial" w:cs="Arial" w:eastAsia="Arial" w:hAnsi="Arial"/>
          <w:sz w:val="20"/>
          <w:szCs w:val="20"/>
        </w:rPr>
        <w:t xml:space="preserve">WHEN a non-streaming response has been fully written to the caller, THE Cache_Manager SHALL issue an asynchronous DEL command for the anonreq:{Session_ID} key. If DEL fails, THE Cache_Manager SHALL rely on TTL-based eviction as fallback and SHALL NOT retry.</w:t>
      </w:r>
    </w:p>
    <w:p>
      <w:pPr>
        <w:pStyle w:val="ListParagraph"/>
        <w:numPr>
          <w:ilvl w:val="0"/>
          <w:numId w:val="3"/>
        </w:numPr>
        <w:spacing w:after="60" w:before="60"/>
      </w:pPr>
      <w:r>
        <w:rPr>
          <w:rFonts w:ascii="Arial" w:cs="Arial" w:eastAsia="Arial" w:hAnsi="Arial"/>
          <w:sz w:val="20"/>
          <w:szCs w:val="20"/>
        </w:rPr>
        <w:t xml:space="preserve">WHEN a streaming response reaches its terminal event ([DONE] or connection close), THE Cache_Manager SHALL issue an asynchronous DEL command within 100ms of the terminal event being forwarded to the caller.</w:t>
      </w:r>
    </w:p>
    <w:p>
      <w:pPr>
        <w:pStyle w:val="ListParagraph"/>
        <w:numPr>
          <w:ilvl w:val="0"/>
          <w:numId w:val="3"/>
        </w:numPr>
        <w:spacing w:after="60" w:before="60"/>
      </w:pPr>
      <w:r>
        <w:rPr>
          <w:rFonts w:ascii="Arial" w:cs="Arial" w:eastAsia="Arial" w:hAnsi="Arial"/>
          <w:sz w:val="20"/>
          <w:szCs w:val="20"/>
        </w:rPr>
        <w:t xml:space="preserve">WHILE a streaming response is in progress and elapsed time exceeds 80% of the configured TTL, THE Cache_Manager SHALL extend the key's TTL by the value of the Session TTL to prevent premature eviction.</w:t>
      </w:r>
    </w:p>
    <w:p>
      <w:pPr>
        <w:pStyle w:val="ListParagraph"/>
        <w:numPr>
          <w:ilvl w:val="0"/>
          <w:numId w:val="3"/>
        </w:numPr>
        <w:spacing w:after="60" w:before="60"/>
      </w:pPr>
      <w:r>
        <w:rPr>
          <w:rFonts w:ascii="Arial" w:cs="Arial" w:eastAsia="Arial" w:hAnsi="Arial"/>
          <w:sz w:val="20"/>
          <w:szCs w:val="20"/>
        </w:rPr>
        <w:t xml:space="preserve">IF the DEL command fails after response delivery, THEN TTL-based eviction SHALL serve as the fallback deletion mechanism, ensuring no Mapping persists beyond the configured TTL.</w:t>
      </w:r>
    </w:p>
    <w:p>
      <w:pPr>
        <w:pStyle w:val="ListParagraph"/>
        <w:numPr>
          <w:ilvl w:val="0"/>
          <w:numId w:val="3"/>
        </w:numPr>
        <w:spacing w:after="60" w:before="60"/>
      </w:pPr>
      <w:r>
        <w:rPr>
          <w:rFonts w:ascii="Arial" w:cs="Arial" w:eastAsia="Arial" w:hAnsi="Arial"/>
          <w:sz w:val="20"/>
          <w:szCs w:val="20"/>
        </w:rPr>
        <w:t xml:space="preserve">THE Cache_Manager SHALL expose a health check verifying: the in-memory store is reachable within 200ms, a test key can be written and read, persistence is disabled (CONFIG GET save returning empty string), and AOF is disabled (CONFIG GET appendonly returning 'no').</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6: SSE Streaming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an enterprise developer, I want streaming responses to work transparently through the gateway so that time-to-first-token latency is preserved for interactive applications, and tokens are restored in the stream before reaching the client.</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WHEN a request is received with stream: true, THE Gateway SHALL forward a streaming request to the external provider and return a text/event-stream response to the caller that delivers each SSE event as received, without buffering the complete response.</w:t>
      </w:r>
    </w:p>
    <w:p>
      <w:pPr>
        <w:pStyle w:val="ListParagraph"/>
        <w:numPr>
          <w:ilvl w:val="0"/>
          <w:numId w:val="3"/>
        </w:numPr>
        <w:spacing w:after="60" w:before="60"/>
      </w:pPr>
      <w:r>
        <w:rPr>
          <w:rFonts w:ascii="Arial" w:cs="Arial" w:eastAsia="Arial" w:hAnsi="Arial"/>
          <w:sz w:val="20"/>
          <w:szCs w:val="20"/>
        </w:rPr>
        <w:t xml:space="preserve">WHEN streaming a response, THE Restoration_Engine SHALL pre-fetch the complete Mapping from the Cache_Manager at the start of the stream (via a single HGETALL command) and SHALL perform all subsequent Token lookups against the local in-memory copy.</w:t>
      </w:r>
    </w:p>
    <w:p>
      <w:pPr>
        <w:pStyle w:val="ListParagraph"/>
        <w:numPr>
          <w:ilvl w:val="0"/>
          <w:numId w:val="3"/>
        </w:numPr>
        <w:spacing w:after="60" w:before="60"/>
      </w:pPr>
      <w:r>
        <w:rPr>
          <w:rFonts w:ascii="Arial" w:cs="Arial" w:eastAsia="Arial" w:hAnsi="Arial"/>
          <w:sz w:val="20"/>
          <w:szCs w:val="20"/>
        </w:rPr>
        <w:t xml:space="preserve">WHEN a Token is split across two consecutive SSE chunks, THE Restoration_Engine SHALL buffer the incomplete Token suffix using a Tail_Buffer (maximum 512 characters) and complete the replacement when the remainder arrives in the next chunk.</w:t>
      </w:r>
    </w:p>
    <w:p>
      <w:pPr>
        <w:pStyle w:val="ListParagraph"/>
        <w:numPr>
          <w:ilvl w:val="0"/>
          <w:numId w:val="3"/>
        </w:numPr>
        <w:spacing w:after="60" w:before="60"/>
      </w:pPr>
      <w:r>
        <w:rPr>
          <w:rFonts w:ascii="Arial" w:cs="Arial" w:eastAsia="Arial" w:hAnsi="Arial"/>
          <w:sz w:val="20"/>
          <w:szCs w:val="20"/>
        </w:rPr>
        <w:t xml:space="preserve">THE Restoration_Engine SHALL apply case-insensitive Token matching so that LLM-mutated variants such as [name_1] or [Name_1] are correctly resolved to their mapped values.</w:t>
      </w:r>
    </w:p>
    <w:p>
      <w:pPr>
        <w:pStyle w:val="ListParagraph"/>
        <w:numPr>
          <w:ilvl w:val="0"/>
          <w:numId w:val="3"/>
        </w:numPr>
        <w:spacing w:after="60" w:before="60"/>
      </w:pPr>
      <w:r>
        <w:rPr>
          <w:rFonts w:ascii="Arial" w:cs="Arial" w:eastAsia="Arial" w:hAnsi="Arial"/>
          <w:sz w:val="20"/>
          <w:szCs w:val="20"/>
        </w:rPr>
        <w:t xml:space="preserve">THE Restoration_Engine SHALL apply bracket-optional Token matching so that un-bracketed variants such as NAME_1 bounded by word boundaries are correctly resolved.</w:t>
      </w:r>
    </w:p>
    <w:p>
      <w:pPr>
        <w:pStyle w:val="ListParagraph"/>
        <w:numPr>
          <w:ilvl w:val="0"/>
          <w:numId w:val="3"/>
        </w:numPr>
        <w:spacing w:after="60" w:before="60"/>
      </w:pPr>
      <w:r>
        <w:rPr>
          <w:rFonts w:ascii="Arial" w:cs="Arial" w:eastAsia="Arial" w:hAnsi="Arial"/>
          <w:sz w:val="20"/>
          <w:szCs w:val="20"/>
        </w:rPr>
        <w:t xml:space="preserve">WHEN a Tail_Buffer contains a partial Token prefix not completed after 50 consecutive chunks or 500ms (whichever is shorter), THE Restoration_Engine SHALL emit a structured log entry and yield the buffered content to the caller as-is.</w:t>
      </w:r>
    </w:p>
    <w:p>
      <w:pPr>
        <w:pStyle w:val="ListParagraph"/>
        <w:numPr>
          <w:ilvl w:val="0"/>
          <w:numId w:val="3"/>
        </w:numPr>
        <w:spacing w:after="60" w:before="60"/>
      </w:pPr>
      <w:r>
        <w:rPr>
          <w:rFonts w:ascii="Arial" w:cs="Arial" w:eastAsia="Arial" w:hAnsi="Arial"/>
          <w:sz w:val="20"/>
          <w:szCs w:val="20"/>
        </w:rPr>
        <w:t xml:space="preserve">THE Gateway SHALL propagate the headers Cache-Control: no-cache, X-Accel-Buffering: no, and Connection: keep-alive on all streaming responses.</w:t>
      </w:r>
    </w:p>
    <w:p>
      <w:pPr>
        <w:pStyle w:val="ListParagraph"/>
        <w:numPr>
          <w:ilvl w:val="0"/>
          <w:numId w:val="3"/>
        </w:numPr>
        <w:spacing w:after="60" w:before="60"/>
      </w:pPr>
      <w:r>
        <w:rPr>
          <w:rFonts w:ascii="Arial" w:cs="Arial" w:eastAsia="Arial" w:hAnsi="Arial"/>
          <w:sz w:val="20"/>
          <w:szCs w:val="20"/>
        </w:rPr>
        <w:t xml:space="preserve">FOR ALL streaming responses, every Token that was inserted by THE Tokenization_Engine SHALL appear in the final assembled response as its original value (streaming round-trip property).</w:t>
      </w:r>
    </w:p>
    <w:p>
      <w:pPr>
        <w:pStyle w:val="ListParagraph"/>
        <w:numPr>
          <w:ilvl w:val="0"/>
          <w:numId w:val="3"/>
        </w:numPr>
        <w:spacing w:after="60" w:before="60"/>
      </w:pPr>
      <w:r>
        <w:rPr>
          <w:rFonts w:ascii="Arial" w:cs="Arial" w:eastAsia="Arial" w:hAnsi="Arial"/>
          <w:sz w:val="20"/>
          <w:szCs w:val="20"/>
        </w:rPr>
        <w:t xml:space="preserve">WHEN a streaming response reaches its terminal event, THE Restoration_Engine SHALL flush any remaining content in the Tail_Buffer to the caller before closing the response stream.</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7: Multi-Provider LLM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an enterprise infrastructure engineer, I want to configure AnonReq once and route traffic to OpenAI, Anthropic, Gemini, or a local Ollama instance without changing application code, so that our provider strategy remains flexible and vendor lock-in is avoided.</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OpenAI-compatible providers (including Azure OpenAI) by forwarding requests in OpenAI's native JSON schema with only the Authorization header replaced by the gateway-managed API key.</w:t>
      </w:r>
    </w:p>
    <w:p>
      <w:pPr>
        <w:pStyle w:val="ListParagraph"/>
        <w:numPr>
          <w:ilvl w:val="0"/>
          <w:numId w:val="3"/>
        </w:numPr>
        <w:spacing w:after="60" w:before="60"/>
      </w:pPr>
      <w:r>
        <w:rPr>
          <w:rFonts w:ascii="Arial" w:cs="Arial" w:eastAsia="Arial" w:hAnsi="Arial"/>
          <w:sz w:val="20"/>
          <w:szCs w:val="20"/>
        </w:rPr>
        <w:t xml:space="preserve">WHEN a request is routed to Anthropic Claude, THE Provider_Adapter SHALL translate the OpenAI messages array into Anthropic's Messages API format, including system prompt extraction, role mapping, and content block construction, for both streaming and non-streaming modes.</w:t>
      </w:r>
    </w:p>
    <w:p>
      <w:pPr>
        <w:pStyle w:val="ListParagraph"/>
        <w:numPr>
          <w:ilvl w:val="0"/>
          <w:numId w:val="3"/>
        </w:numPr>
        <w:spacing w:after="60" w:before="60"/>
      </w:pPr>
      <w:r>
        <w:rPr>
          <w:rFonts w:ascii="Arial" w:cs="Arial" w:eastAsia="Arial" w:hAnsi="Arial"/>
          <w:sz w:val="20"/>
          <w:szCs w:val="20"/>
        </w:rPr>
        <w:t xml:space="preserve">WHEN a request is routed to Google Gemini, THE Provider_Adapter SHALL translate the OpenAI payload into Gemini's contents[] format with generationConfig parameter mapping for both streaming and non-streaming modes.</w:t>
      </w:r>
    </w:p>
    <w:p>
      <w:pPr>
        <w:pStyle w:val="ListParagraph"/>
        <w:numPr>
          <w:ilvl w:val="0"/>
          <w:numId w:val="3"/>
        </w:numPr>
        <w:spacing w:after="60" w:before="60"/>
      </w:pPr>
      <w:r>
        <w:rPr>
          <w:rFonts w:ascii="Arial" w:cs="Arial" w:eastAsia="Arial" w:hAnsi="Arial"/>
          <w:sz w:val="20"/>
          <w:szCs w:val="20"/>
        </w:rPr>
        <w:t xml:space="preserve">THE Gateway SHALL support Ollama (self-hosted) by forwarding requests to a configurable base URL using OpenAI-compatible message format, enabling fully air-gapped deployments.</w:t>
      </w:r>
    </w:p>
    <w:p>
      <w:pPr>
        <w:pStyle w:val="ListParagraph"/>
        <w:numPr>
          <w:ilvl w:val="0"/>
          <w:numId w:val="3"/>
        </w:numPr>
        <w:spacing w:after="60" w:before="60"/>
      </w:pPr>
      <w:r>
        <w:rPr>
          <w:rFonts w:ascii="Arial" w:cs="Arial" w:eastAsia="Arial" w:hAnsi="Arial"/>
          <w:sz w:val="20"/>
          <w:szCs w:val="20"/>
        </w:rPr>
        <w:t xml:space="preserve">WHEN a request's model field matches a configured model alias, THE Provider_Adapter SHALL route the request to the corresponding upstream provider and translate the model name to the provider's native model identifier.</w:t>
      </w:r>
    </w:p>
    <w:p>
      <w:pPr>
        <w:pStyle w:val="ListParagraph"/>
        <w:numPr>
          <w:ilvl w:val="0"/>
          <w:numId w:val="3"/>
        </w:numPr>
        <w:spacing w:after="60" w:before="60"/>
      </w:pPr>
      <w:r>
        <w:rPr>
          <w:rFonts w:ascii="Arial" w:cs="Arial" w:eastAsia="Arial" w:hAnsi="Arial"/>
          <w:sz w:val="20"/>
          <w:szCs w:val="20"/>
        </w:rPr>
        <w:t xml:space="preserve">THE Gateway SHALL inject the upstream provider's API key from environment variables or a secrets file at the network boundary, ensuring that client applications never receive, transmit, or store provider keys.</w:t>
      </w:r>
    </w:p>
    <w:p>
      <w:pPr>
        <w:pStyle w:val="ListParagraph"/>
        <w:numPr>
          <w:ilvl w:val="0"/>
          <w:numId w:val="3"/>
        </w:numPr>
        <w:spacing w:after="60" w:before="60"/>
      </w:pPr>
      <w:r>
        <w:rPr>
          <w:rFonts w:ascii="Arial" w:cs="Arial" w:eastAsia="Arial" w:hAnsi="Arial"/>
          <w:sz w:val="20"/>
          <w:szCs w:val="20"/>
        </w:rPr>
        <w:t xml:space="preserve">THE Gateway SHALL expose a GET /v1/models endpoint that returns the list of configured model aliases and their target providers.</w:t>
      </w:r>
    </w:p>
    <w:p>
      <w:pPr>
        <w:pStyle w:val="ListParagraph"/>
        <w:numPr>
          <w:ilvl w:val="0"/>
          <w:numId w:val="3"/>
        </w:numPr>
        <w:spacing w:after="60" w:before="60"/>
      </w:pPr>
      <w:r>
        <w:rPr>
          <w:rFonts w:ascii="Arial" w:cs="Arial" w:eastAsia="Arial" w:hAnsi="Arial"/>
          <w:sz w:val="20"/>
          <w:szCs w:val="20"/>
        </w:rPr>
        <w:t xml:space="preserve">WHEN the upstream provider returns an HTTP error (4xx or 5xx), THE Gateway SHALL forward the error status with a response body containing only the provider's HTTP status code and a generic error message. Provider API keys, internal URLs, raw prompt content, and Token values SHALL NOT be included in the error payload.</w:t>
      </w:r>
    </w:p>
    <w:p>
      <w:pPr>
        <w:pStyle w:val="ListParagraph"/>
        <w:numPr>
          <w:ilvl w:val="0"/>
          <w:numId w:val="3"/>
        </w:numPr>
        <w:spacing w:after="60" w:before="60"/>
      </w:pPr>
      <w:r>
        <w:rPr>
          <w:rFonts w:ascii="Arial" w:cs="Arial" w:eastAsia="Arial" w:hAnsi="Arial"/>
          <w:sz w:val="20"/>
          <w:szCs w:val="20"/>
        </w:rPr>
        <w:t xml:space="preserve">IF a request's model field does not match any configured model alias, THEN THE Gateway SHALL return HTTP 400 and SHALL NOT forward any content to an external provider.</w:t>
      </w:r>
    </w:p>
    <w:p>
      <w:pPr>
        <w:pStyle w:val="ListParagraph"/>
        <w:numPr>
          <w:ilvl w:val="0"/>
          <w:numId w:val="3"/>
        </w:numPr>
        <w:spacing w:after="60" w:before="60"/>
      </w:pPr>
      <w:r>
        <w:rPr>
          <w:rFonts w:ascii="Arial" w:cs="Arial" w:eastAsia="Arial" w:hAnsi="Arial"/>
          <w:sz w:val="20"/>
          <w:szCs w:val="20"/>
        </w:rPr>
        <w:t xml:space="preserve">IF the Provider_Adapter fails to translate the request payload, THEN THE Gateway SHALL return HTTP 500 and SHALL NOT forward any content to the external provider (fail-secure translation property).</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8: Multilingual PII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compliance officer at a European financial institution, I want AnonReq to detect PII in German, French, Dutch, Spanish, Italian, Arabic, Portuguese/Brazilian, and English prompts, so that our multilingual workforce can use LLM tooling without creating GDPR exposure across any language we operate in.</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Detection_Engine SHALL support locale-specific regex recognisers for: en-* (SSN, US passport, NANP phone); de-DE (Steuer-ID modulo-11, Personalausweis, German IBAN, German phone); fr-FR (NIR INSEE, French passport, French phone); nl-NL (BSN modulo-11, Dutch phone, Dutch IBAN); es-* (DNI, NIE, Spanish phone); it-IT (Codice Fiscale, Partita IVA, Italian phone); ar-* (UAE Emirates ID, Saudi Iqama, Kuwaiti Civil ID, Arabic-script names); pt-BR (CPF modulo-11, CNPJ modulo-11, Brazilian phone).</w:t>
      </w:r>
    </w:p>
    <w:p>
      <w:pPr>
        <w:pStyle w:val="ListParagraph"/>
        <w:numPr>
          <w:ilvl w:val="0"/>
          <w:numId w:val="3"/>
        </w:numPr>
        <w:spacing w:after="60" w:before="60"/>
      </w:pPr>
      <w:r>
        <w:rPr>
          <w:rFonts w:ascii="Arial" w:cs="Arial" w:eastAsia="Arial" w:hAnsi="Arial"/>
          <w:sz w:val="20"/>
          <w:szCs w:val="20"/>
        </w:rPr>
        <w:t xml:space="preserve">WHEN a request payload includes a X-AnonReq-Locale header with a supported locale code, THE Detection_Engine SHALL activate the locale-specific recogniser bundle for that locale in addition to universal recognisers.</w:t>
      </w:r>
    </w:p>
    <w:p>
      <w:pPr>
        <w:pStyle w:val="ListParagraph"/>
        <w:numPr>
          <w:ilvl w:val="0"/>
          <w:numId w:val="3"/>
        </w:numPr>
        <w:spacing w:after="60" w:before="60"/>
      </w:pPr>
      <w:r>
        <w:rPr>
          <w:rFonts w:ascii="Arial" w:cs="Arial" w:eastAsia="Arial" w:hAnsi="Arial"/>
          <w:sz w:val="20"/>
          <w:szCs w:val="20"/>
        </w:rPr>
        <w:t xml:space="preserve">IF the X-AnonReq-Locale header contains an unsupported or malformed locale code, THEN THE Detection_Engine SHALL return HTTP 400 with a structured error body and SHALL NOT process the request.</w:t>
      </w:r>
    </w:p>
    <w:p>
      <w:pPr>
        <w:pStyle w:val="ListParagraph"/>
        <w:numPr>
          <w:ilvl w:val="0"/>
          <w:numId w:val="3"/>
        </w:numPr>
        <w:spacing w:after="60" w:before="60"/>
      </w:pPr>
      <w:r>
        <w:rPr>
          <w:rFonts w:ascii="Arial" w:cs="Arial" w:eastAsia="Arial" w:hAnsi="Arial"/>
          <w:sz w:val="20"/>
          <w:szCs w:val="20"/>
        </w:rPr>
        <w:t xml:space="preserve">IF no X-AnonReq-Locale header is provided, THEN THE Detection_Engine SHALL apply universal recognisers only and SHALL emit a structured log entry with locale_detection_skipped: true.</w:t>
      </w:r>
    </w:p>
    <w:p>
      <w:pPr>
        <w:pStyle w:val="ListParagraph"/>
        <w:numPr>
          <w:ilvl w:val="0"/>
          <w:numId w:val="3"/>
        </w:numPr>
        <w:spacing w:after="60" w:before="60"/>
      </w:pPr>
      <w:r>
        <w:rPr>
          <w:rFonts w:ascii="Arial" w:cs="Arial" w:eastAsia="Arial" w:hAnsi="Arial"/>
          <w:sz w:val="20"/>
          <w:szCs w:val="20"/>
        </w:rPr>
        <w:t xml:space="preserve">THE Detection_Engine SHALL support multi-locale detection by accepting up to 10 comma-separated locale codes in the X-AnonReq-Locale header, running all specified locale recognisers, and merging results using confidence-score priority.</w:t>
      </w:r>
    </w:p>
    <w:p>
      <w:pPr>
        <w:pStyle w:val="ListParagraph"/>
        <w:numPr>
          <w:ilvl w:val="0"/>
          <w:numId w:val="3"/>
        </w:numPr>
        <w:spacing w:after="60" w:before="60"/>
      </w:pPr>
      <w:r>
        <w:rPr>
          <w:rFonts w:ascii="Arial" w:cs="Arial" w:eastAsia="Arial" w:hAnsi="Arial"/>
          <w:sz w:val="20"/>
          <w:szCs w:val="20"/>
        </w:rPr>
        <w:t xml:space="preserve">THE Detection_Engine SHALL be extensible so that new locale recogniser bundles can be added by placing a configuration file in the recognisers directory without modifying application source code.</w:t>
      </w:r>
    </w:p>
    <w:p>
      <w:pPr>
        <w:pStyle w:val="ListParagraph"/>
        <w:numPr>
          <w:ilvl w:val="0"/>
          <w:numId w:val="3"/>
        </w:numPr>
        <w:spacing w:after="60" w:before="60"/>
      </w:pPr>
      <w:r>
        <w:rPr>
          <w:rFonts w:ascii="Arial" w:cs="Arial" w:eastAsia="Arial" w:hAnsi="Arial"/>
          <w:sz w:val="20"/>
          <w:szCs w:val="20"/>
        </w:rPr>
        <w:t xml:space="preserve">THE Detection_Engine SHALL validate checksums before flagging: German Steuer-ID (modulo-11), Dutch BSN (modulo-11), French NIR (Luhn variant), Brazilian CPF (modulo-11), Brazilian CNPJ (modulo-11), Italian Codice Fiscale (official fiscal code algorithm). Digit sequences of the correct length that fail checksum validation SHALL NOT be flagged.</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9: Per-Jurisdiction Compliance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legal counsel advising a financial institution operating in multiple jurisdictions, I want to select a compliance preset that automatically enables the entity types and detection thresholds required by the applicable data protection regulation, so that AnonReq deployment decisions are defensible during regulatory audit.</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provide named compliance presets for: gdpr (EU GDPR Art. 4), lgpd (Brazilian Lei Geral de Proteção de Dados Pessoais), pdpa (Personal Data Protection Act — Thailand/Singapore variant), popia (Protection of Personal Information Act — South Africa), privacy-act-au (Australian Privacy Act 1988), pipeda (Canadian PIPEDA). Each preset SHALL define: mandatory entity types, minimum Confidence_Threshold per entity type, and applicable Locale(s).</w:t>
      </w:r>
    </w:p>
    <w:p>
      <w:pPr>
        <w:pStyle w:val="ListParagraph"/>
        <w:numPr>
          <w:ilvl w:val="0"/>
          <w:numId w:val="3"/>
        </w:numPr>
        <w:spacing w:after="60" w:before="60"/>
      </w:pPr>
      <w:r>
        <w:rPr>
          <w:rFonts w:ascii="Arial" w:cs="Arial" w:eastAsia="Arial" w:hAnsi="Arial"/>
          <w:sz w:val="20"/>
          <w:szCs w:val="20"/>
        </w:rPr>
        <w:t xml:space="preserve">WHEN a compliance preset is activated, THE Detection_Engine SHALL enforce the minimum entity type set defined by that preset. IF a custom rule disables an entity type that the active preset mandates, THEN THE Gateway SHALL reject the configuration at startup with an error identifying the disabled entity type and the preset that mandates it.</w:t>
      </w:r>
    </w:p>
    <w:p>
      <w:pPr>
        <w:pStyle w:val="ListParagraph"/>
        <w:numPr>
          <w:ilvl w:val="0"/>
          <w:numId w:val="3"/>
        </w:numPr>
        <w:spacing w:after="60" w:before="60"/>
      </w:pPr>
      <w:r>
        <w:rPr>
          <w:rFonts w:ascii="Arial" w:cs="Arial" w:eastAsia="Arial" w:hAnsi="Arial"/>
          <w:sz w:val="20"/>
          <w:szCs w:val="20"/>
        </w:rPr>
        <w:t xml:space="preserve">THE Audit_Logger SHALL include the active compliance preset name as the compliance_preset field in every audit log entry.</w:t>
      </w:r>
    </w:p>
    <w:p>
      <w:pPr>
        <w:pStyle w:val="ListParagraph"/>
        <w:numPr>
          <w:ilvl w:val="0"/>
          <w:numId w:val="3"/>
        </w:numPr>
        <w:spacing w:after="60" w:before="60"/>
      </w:pPr>
      <w:r>
        <w:rPr>
          <w:rFonts w:ascii="Arial" w:cs="Arial" w:eastAsia="Arial" w:hAnsi="Arial"/>
          <w:sz w:val="20"/>
          <w:szCs w:val="20"/>
        </w:rPr>
        <w:t xml:space="preserve">IF a deployment has multiple compliance presets active simultaneously, THEN THE Gateway SHALL apply a merged preset that is the union of all mandatory entity types, with the highest Confidence_Threshold across all active presets applied for each entity type.</w:t>
      </w:r>
    </w:p>
    <w:p>
      <w:pPr>
        <w:pStyle w:val="ListParagraph"/>
        <w:numPr>
          <w:ilvl w:val="0"/>
          <w:numId w:val="3"/>
        </w:numPr>
        <w:spacing w:after="60" w:before="60"/>
      </w:pPr>
      <w:r>
        <w:rPr>
          <w:rFonts w:ascii="Arial" w:cs="Arial" w:eastAsia="Arial" w:hAnsi="Arial"/>
          <w:sz w:val="20"/>
          <w:szCs w:val="20"/>
        </w:rPr>
        <w:t xml:space="preserve">THE Gateway SHALL expose a GET /v1/compliance/presets endpoint that returns a JSON object listing each available preset with its identifier, mandatory entity types, minimum Confidence_Threshold per entity type, and applicable locales.</w:t>
      </w:r>
    </w:p>
    <w:p>
      <w:pPr>
        <w:pStyle w:val="ListParagraph"/>
        <w:numPr>
          <w:ilvl w:val="0"/>
          <w:numId w:val="3"/>
        </w:numPr>
        <w:spacing w:after="60" w:before="60"/>
      </w:pPr>
      <w:r>
        <w:rPr>
          <w:rFonts w:ascii="Arial" w:cs="Arial" w:eastAsia="Arial" w:hAnsi="Arial"/>
          <w:sz w:val="20"/>
          <w:szCs w:val="20"/>
        </w:rPr>
        <w:t xml:space="preserve">IF no compliance preset is active, THEN THE Detection_Engine SHALL operate with its default built-in recogniser set and the Audit_Logger SHALL record compliance_preset: null in every audit log entry.</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10: Metadata-Only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Data Protection Officer, I want structured audit logs that prove the gateway anonymised sensitive entities on every request, without the logs themselves becoming a PII liability, so that I can satisfy regulatory audit requirements under GDPR Article 30.</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Audit_Logger SHALL emit a structured JSON log entry to stdout for every completed request-response cycle, containing exactly: timestamp (ISO 8601 UTC), session_id (UUID), target_provider, target_model, entity_counts (object mapping entity type names to integer counts, maximum 50 keys), total_entities_detected (non-negative integer), streaming (boolean), latency_ms (object with detection, tokenisation, restoration, and total_overhead as non-negative integer fields), compliance_preset (string or null), and locale (BCP 47 or null).</w:t>
      </w:r>
    </w:p>
    <w:p>
      <w:pPr>
        <w:pStyle w:val="ListParagraph"/>
        <w:numPr>
          <w:ilvl w:val="0"/>
          <w:numId w:val="3"/>
        </w:numPr>
        <w:spacing w:after="60" w:before="60"/>
      </w:pPr>
      <w:r>
        <w:rPr>
          <w:rFonts w:ascii="Arial" w:cs="Arial" w:eastAsia="Arial" w:hAnsi="Arial"/>
          <w:sz w:val="20"/>
          <w:szCs w:val="20"/>
        </w:rPr>
        <w:t xml:space="preserve">THE Audit_Logger SHALL NEVER include in any log entry: raw prompt text, raw response text, anonymisation placeholder token strings, original entity values, authentication credentials, or internal endpoint URLs.</w:t>
      </w:r>
    </w:p>
    <w:p>
      <w:pPr>
        <w:pStyle w:val="ListParagraph"/>
        <w:numPr>
          <w:ilvl w:val="0"/>
          <w:numId w:val="3"/>
        </w:numPr>
        <w:spacing w:after="60" w:before="60"/>
      </w:pPr>
      <w:r>
        <w:rPr>
          <w:rFonts w:ascii="Arial" w:cs="Arial" w:eastAsia="Arial" w:hAnsi="Arial"/>
          <w:sz w:val="20"/>
          <w:szCs w:val="20"/>
        </w:rPr>
        <w:t xml:space="preserve">IF an exception occurs during audit log entry construction or emission, THEN THE Audit_Logger SHALL discard the log entry, preserve the HTTP response status and body exactly as they would have been delivered, and increment the anonreq_audit_log_failures_total Prometheus counter.</w:t>
      </w:r>
    </w:p>
    <w:p>
      <w:pPr>
        <w:pStyle w:val="ListParagraph"/>
        <w:numPr>
          <w:ilvl w:val="0"/>
          <w:numId w:val="3"/>
        </w:numPr>
        <w:spacing w:after="60" w:before="60"/>
      </w:pPr>
      <w:r>
        <w:rPr>
          <w:rFonts w:ascii="Arial" w:cs="Arial" w:eastAsia="Arial" w:hAnsi="Arial"/>
          <w:sz w:val="20"/>
          <w:szCs w:val="20"/>
        </w:rPr>
        <w:t xml:space="preserve">THE Gateway SHALL apply a structured-log field allowlist so that no middleware, exception handler, or framework-level logging can inadvertently include raw message content in log output; any log record containing a field not in the allowlist SHALL be silently stripped before writing.</w:t>
      </w:r>
    </w:p>
    <w:p>
      <w:pPr>
        <w:pStyle w:val="ListParagraph"/>
        <w:numPr>
          <w:ilvl w:val="0"/>
          <w:numId w:val="3"/>
        </w:numPr>
        <w:spacing w:after="60" w:before="60"/>
      </w:pPr>
      <w:r>
        <w:rPr>
          <w:rFonts w:ascii="Arial" w:cs="Arial" w:eastAsia="Arial" w:hAnsi="Arial"/>
          <w:sz w:val="20"/>
          <w:szCs w:val="20"/>
        </w:rPr>
        <w:t xml:space="preserve">WHEN a fail-secure event occurs, THE Audit_Logger SHALL emit a structured log entry containing: timestamp (ISO 8601 UTC), session_id, failure_type (one of: detection_error, cache_error, timeout, unknown), and http_status_returned (integer 400–599), with no raw content.</w:t>
      </w:r>
    </w:p>
    <w:p>
      <w:pPr>
        <w:pStyle w:val="ListParagraph"/>
        <w:numPr>
          <w:ilvl w:val="0"/>
          <w:numId w:val="3"/>
        </w:numPr>
        <w:spacing w:after="60" w:before="60"/>
      </w:pPr>
      <w:r>
        <w:rPr>
          <w:rFonts w:ascii="Arial" w:cs="Arial" w:eastAsia="Arial" w:hAnsi="Arial"/>
          <w:sz w:val="20"/>
          <w:szCs w:val="20"/>
        </w:rPr>
        <w:t xml:space="preserve">THE Audit_Logger SHALL write each audit log entry to stdout before the corresponding HTTP response is flushed to the client, ensuring that a process crash immediately after response delivery does not result in a missing audit record.</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11: Custom Detection Rules and Exclusion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platform engineer at a financial services firm, I want to define custom regex patterns for our internal identifiers (employee IDs, account numbers, fund codes) and maintain an exclusion list for product names and system terms, so that AnonReq covers our domain-specific PII without generating false positives on business terminology.</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Detection_Engine SHALL load custom pattern recognisers from a YAML configuration file at startup, where each entry defines: name (string), entity_type (string), patterns (list of regex strings), context_words (optional list of strings that boost confidence when present near the match), and score (float 0.0–1.0).</w:t>
      </w:r>
    </w:p>
    <w:p>
      <w:pPr>
        <w:pStyle w:val="ListParagraph"/>
        <w:numPr>
          <w:ilvl w:val="0"/>
          <w:numId w:val="3"/>
        </w:numPr>
        <w:spacing w:after="60" w:before="60"/>
      </w:pPr>
      <w:r>
        <w:rPr>
          <w:rFonts w:ascii="Arial" w:cs="Arial" w:eastAsia="Arial" w:hAnsi="Arial"/>
          <w:sz w:val="20"/>
          <w:szCs w:val="20"/>
        </w:rPr>
        <w:t xml:space="preserve">WHEN a custom pattern recogniser's regex matches a text span, THE Detection_Engine SHALL treat the match with the confidence score defined in the configuration, subject to the same Confidence_Threshold filtering as built-in recognisers.</w:t>
      </w:r>
    </w:p>
    <w:p>
      <w:pPr>
        <w:pStyle w:val="ListParagraph"/>
        <w:numPr>
          <w:ilvl w:val="0"/>
          <w:numId w:val="3"/>
        </w:numPr>
        <w:spacing w:after="60" w:before="60"/>
      </w:pPr>
      <w:r>
        <w:rPr>
          <w:rFonts w:ascii="Arial" w:cs="Arial" w:eastAsia="Arial" w:hAnsi="Arial"/>
          <w:sz w:val="20"/>
          <w:szCs w:val="20"/>
        </w:rPr>
        <w:t xml:space="preserve">THE Detection_Engine SHALL load the Exclusion_List from a plain-text or YAML file at startup, where each entry is a string term.</w:t>
      </w:r>
    </w:p>
    <w:p>
      <w:pPr>
        <w:pStyle w:val="ListParagraph"/>
        <w:numPr>
          <w:ilvl w:val="0"/>
          <w:numId w:val="3"/>
        </w:numPr>
        <w:spacing w:after="60" w:before="60"/>
      </w:pPr>
      <w:r>
        <w:rPr>
          <w:rFonts w:ascii="Arial" w:cs="Arial" w:eastAsia="Arial" w:hAnsi="Arial"/>
          <w:sz w:val="20"/>
          <w:szCs w:val="20"/>
        </w:rPr>
        <w:t xml:space="preserve">WHEN a detected entity value, after applying NFKC Unicode normalisation and case-folding, exactly matches any Exclusion_List entry (also normalised to NFKC and case-folded), THE Detection_Engine SHALL suppress that detection.</w:t>
      </w:r>
    </w:p>
    <w:p>
      <w:pPr>
        <w:pStyle w:val="ListParagraph"/>
        <w:numPr>
          <w:ilvl w:val="0"/>
          <w:numId w:val="3"/>
        </w:numPr>
        <w:spacing w:after="60" w:before="60"/>
      </w:pPr>
      <w:r>
        <w:rPr>
          <w:rFonts w:ascii="Arial" w:cs="Arial" w:eastAsia="Arial" w:hAnsi="Arial"/>
          <w:sz w:val="20"/>
          <w:szCs w:val="20"/>
        </w:rPr>
        <w:t xml:space="preserve">THE Exclusion_List SHALL support wildcard matching using * as a suffix wildcard (e.g., GraphAPI.* suppresses any detection starting with GraphAPI.).</w:t>
      </w:r>
    </w:p>
    <w:p>
      <w:pPr>
        <w:pStyle w:val="ListParagraph"/>
        <w:numPr>
          <w:ilvl w:val="0"/>
          <w:numId w:val="3"/>
        </w:numPr>
        <w:spacing w:after="60" w:before="60"/>
      </w:pPr>
      <w:r>
        <w:rPr>
          <w:rFonts w:ascii="Arial" w:cs="Arial" w:eastAsia="Arial" w:hAnsi="Arial"/>
          <w:sz w:val="20"/>
          <w:szCs w:val="20"/>
        </w:rPr>
        <w:t xml:space="preserve">WHEN the custom recogniser configuration file or the Exclusion_List file is modified on disk, THE Detection_Engine SHALL perform an atomic configuration swap within 60 seconds of the file modification timestamp changing, without requiring a process restart.</w:t>
      </w:r>
    </w:p>
    <w:p>
      <w:pPr>
        <w:pStyle w:val="ListParagraph"/>
        <w:numPr>
          <w:ilvl w:val="0"/>
          <w:numId w:val="3"/>
        </w:numPr>
        <w:spacing w:after="60" w:before="60"/>
      </w:pPr>
      <w:r>
        <w:rPr>
          <w:rFonts w:ascii="Arial" w:cs="Arial" w:eastAsia="Arial" w:hAnsi="Arial"/>
          <w:sz w:val="20"/>
          <w:szCs w:val="20"/>
        </w:rPr>
        <w:t xml:space="preserve">IF a custom recogniser pattern contains an invalid regex, THEN THE Detection_Engine SHALL reject the configuration at startup with an error identifying the invalid pattern and SHALL NOT start serving traffic with a partially loaded recogniser set.</w:t>
      </w:r>
    </w:p>
    <w:p>
      <w:pPr>
        <w:pStyle w:val="ListParagraph"/>
        <w:numPr>
          <w:ilvl w:val="0"/>
          <w:numId w:val="3"/>
        </w:numPr>
        <w:spacing w:after="60" w:before="60"/>
      </w:pPr>
      <w:r>
        <w:rPr>
          <w:rFonts w:ascii="Arial" w:cs="Arial" w:eastAsia="Arial" w:hAnsi="Arial"/>
          <w:sz w:val="20"/>
          <w:szCs w:val="20"/>
        </w:rPr>
        <w:t xml:space="preserve">IF the custom recogniser YAML file is missing at startup, THEN THE Detection_Engine SHALL start with built-in recognisers only and SHALL log a structured warning identifying the expected file path.</w:t>
      </w:r>
    </w:p>
    <w:p>
      <w:pPr>
        <w:pStyle w:val="ListParagraph"/>
        <w:numPr>
          <w:ilvl w:val="0"/>
          <w:numId w:val="3"/>
        </w:numPr>
        <w:spacing w:after="60" w:before="60"/>
      </w:pPr>
      <w:r>
        <w:rPr>
          <w:rFonts w:ascii="Arial" w:cs="Arial" w:eastAsia="Arial" w:hAnsi="Arial"/>
          <w:sz w:val="20"/>
          <w:szCs w:val="20"/>
        </w:rPr>
        <w:t xml:space="preserve">IF the Exclusion_List file is missing at startup, THEN THE Detection_Engine SHALL start with an empty Exclusion_List and SHALL log a structured warning.</w:t>
      </w:r>
    </w:p>
    <w:p>
      <w:pPr>
        <w:pStyle w:val="ListParagraph"/>
        <w:numPr>
          <w:ilvl w:val="0"/>
          <w:numId w:val="3"/>
        </w:numPr>
        <w:spacing w:after="60" w:before="60"/>
      </w:pPr>
      <w:r>
        <w:rPr>
          <w:rFonts w:ascii="Arial" w:cs="Arial" w:eastAsia="Arial" w:hAnsi="Arial"/>
          <w:sz w:val="20"/>
          <w:szCs w:val="20"/>
        </w:rPr>
        <w:t xml:space="preserve">THE Gateway SHALL expose a GET /v1/config/rules endpoint (authenticated) returning the names and entity types of all active custom recognisers and the count of Exclusion_List entries.</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12: Docker Compose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DevOps engineer, I want to bring up a fully functional AnonReq gateway with a single docker compose up command that starts all required services with correct networking, so that we can deploy to a pilot customer's VPC in under 30 minutes.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ship a docker-compose.yml defining at minimum: anonreq (FastAPI proxy), presidio (Presidio Analyser as independent service), and valkey (ephemeral cache), all connected via an internal Docker network. Host port exposure SHALL only be enabled by a Docker Compose override file; the default docker-compose.yml SHALL NOT expose any service port to the host network.</w:t>
      </w:r>
    </w:p>
    <w:p>
      <w:pPr>
        <w:pStyle w:val="ListParagraph"/>
        <w:numPr>
          <w:ilvl w:val="0"/>
          <w:numId w:val="3"/>
        </w:numPr>
        <w:spacing w:after="60" w:before="60"/>
      </w:pPr>
      <w:r>
        <w:rPr>
          <w:rFonts w:ascii="Arial" w:cs="Arial" w:eastAsia="Arial" w:hAnsi="Arial"/>
          <w:sz w:val="20"/>
          <w:szCs w:val="20"/>
        </w:rPr>
        <w:t xml:space="preserve">WHEN docker compose up is executed on a system meeting minimum specifications (4-core CPU, 8 GB RAM, Docker Engine 24+), THE GET /health endpoint SHALL return HTTP 200 within 60 seconds of the command completing.</w:t>
      </w:r>
    </w:p>
    <w:p>
      <w:pPr>
        <w:pStyle w:val="ListParagraph"/>
        <w:numPr>
          <w:ilvl w:val="0"/>
          <w:numId w:val="3"/>
        </w:numPr>
        <w:spacing w:after="60" w:before="60"/>
      </w:pPr>
      <w:r>
        <w:rPr>
          <w:rFonts w:ascii="Arial" w:cs="Arial" w:eastAsia="Arial" w:hAnsi="Arial"/>
          <w:sz w:val="20"/>
          <w:szCs w:val="20"/>
        </w:rPr>
        <w:t xml:space="preserve">THE Gateway SHALL implement a multi-stage Dockerfile with a Python 3.12-slim base image, where stage 1 downloads and installs NLP models and stage 2 copies only application code and pre-built model artefacts. The final stage image size SHALL NOT exceed 2 GB.</w:t>
      </w:r>
    </w:p>
    <w:p>
      <w:pPr>
        <w:pStyle w:val="ListParagraph"/>
        <w:numPr>
          <w:ilvl w:val="0"/>
          <w:numId w:val="3"/>
        </w:numPr>
        <w:spacing w:after="60" w:before="60"/>
      </w:pPr>
      <w:r>
        <w:rPr>
          <w:rFonts w:ascii="Arial" w:cs="Arial" w:eastAsia="Arial" w:hAnsi="Arial"/>
          <w:sz w:val="20"/>
          <w:szCs w:val="20"/>
        </w:rPr>
        <w:t xml:space="preserve">THE Gateway SHALL configure the Valkey service with save "" (no RDB snapshots) and SHALL bind Valkey to the internal Docker network only (no host port binding) in the default configuration.</w:t>
      </w:r>
    </w:p>
    <w:p>
      <w:pPr>
        <w:pStyle w:val="ListParagraph"/>
        <w:numPr>
          <w:ilvl w:val="0"/>
          <w:numId w:val="3"/>
        </w:numPr>
        <w:spacing w:after="60" w:before="60"/>
      </w:pPr>
      <w:r>
        <w:rPr>
          <w:rFonts w:ascii="Arial" w:cs="Arial" w:eastAsia="Arial" w:hAnsi="Arial"/>
          <w:sz w:val="20"/>
          <w:szCs w:val="20"/>
        </w:rPr>
        <w:t xml:space="preserve">THE Gateway service SHALL declare a depends_on condition service_healthy for both the presidio service and the valkey service, and both dependency services SHALL define explicit healthcheck stanzas specifying the test command, interval, timeout, and retries.</w:t>
      </w:r>
    </w:p>
    <w:p>
      <w:pPr>
        <w:pStyle w:val="ListParagraph"/>
        <w:numPr>
          <w:ilvl w:val="0"/>
          <w:numId w:val="3"/>
        </w:numPr>
        <w:spacing w:after="60" w:before="60"/>
      </w:pPr>
      <w:r>
        <w:rPr>
          <w:rFonts w:ascii="Arial" w:cs="Arial" w:eastAsia="Arial" w:hAnsi="Arial"/>
          <w:sz w:val="20"/>
          <w:szCs w:val="20"/>
        </w:rPr>
        <w:t xml:space="preserve">ALL configurable parameters (provider API keys, TTL, Confidence_Threshold defaults, active compliance preset, locale, custom rules paths) SHALL be injectable via environment variables with documented defaults, and SHALL NOT have sensitive values hardcoded in the docker-compose.yml.</w:t>
      </w:r>
    </w:p>
    <w:p>
      <w:pPr>
        <w:pStyle w:val="ListParagraph"/>
        <w:numPr>
          <w:ilvl w:val="0"/>
          <w:numId w:val="3"/>
        </w:numPr>
        <w:spacing w:after="60" w:before="60"/>
      </w:pPr>
      <w:r>
        <w:rPr>
          <w:rFonts w:ascii="Arial" w:cs="Arial" w:eastAsia="Arial" w:hAnsi="Arial"/>
          <w:sz w:val="20"/>
          <w:szCs w:val="20"/>
        </w:rPr>
        <w:t xml:space="preserve">THE Gateway SHALL ship a .env.example file documenting every supported environment variable, its type, default value, and a one-sentence description.</w:t>
      </w:r>
    </w:p>
    <w:p>
      <w:pPr>
        <w:pStyle w:val="ListParagraph"/>
        <w:numPr>
          <w:ilvl w:val="0"/>
          <w:numId w:val="3"/>
        </w:numPr>
        <w:spacing w:after="60" w:before="60"/>
      </w:pPr>
      <w:r>
        <w:rPr>
          <w:rFonts w:ascii="Arial" w:cs="Arial" w:eastAsia="Arial" w:hAnsi="Arial"/>
          <w:sz w:val="20"/>
          <w:szCs w:val="20"/>
        </w:rPr>
        <w:t xml:space="preserve">IF a required environment variable (one with no default value) is absent at startup, THEN THE Gateway SHALL exit with a non-zero status code and SHALL log a structured error identifying the missing variable name before terminating.</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13: Response-Side Token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compliance officer, I want assurance that no residual tokens remain in the delivered response even if partial restoration fails, so that end users never see raw placeholder artefacts that could signal a gateway misconfiguration.</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WHEN a non-streaming response has been restored, THE Restoration_Engine SHALL perform a post-restoration verification scan using the token pattern \[[A-Z]+_\d+\] on the full response body before delivering it to the caller.</w:t>
      </w:r>
    </w:p>
    <w:p>
      <w:pPr>
        <w:pStyle w:val="ListParagraph"/>
        <w:numPr>
          <w:ilvl w:val="0"/>
          <w:numId w:val="3"/>
        </w:numPr>
        <w:spacing w:after="60" w:before="60"/>
      </w:pPr>
      <w:r>
        <w:rPr>
          <w:rFonts w:ascii="Arial" w:cs="Arial" w:eastAsia="Arial" w:hAnsi="Arial"/>
          <w:sz w:val="20"/>
          <w:szCs w:val="20"/>
        </w:rPr>
        <w:t xml:space="preserve">IF the post-restoration scan finds any unreplaced Tokens in a non-streaming response, THEN THE Restoration_Engine SHALL log a structured warning with the session_id and the count of unreplaced Tokens (not the Token values), SHALL increment the anonreq_tokens_unrestored_total Prometheus counter, and SHALL deliver the response as-is without altering the HTTP status code.</w:t>
      </w:r>
    </w:p>
    <w:p>
      <w:pPr>
        <w:pStyle w:val="ListParagraph"/>
        <w:numPr>
          <w:ilvl w:val="0"/>
          <w:numId w:val="3"/>
        </w:numPr>
        <w:spacing w:after="60" w:before="60"/>
      </w:pPr>
      <w:r>
        <w:rPr>
          <w:rFonts w:ascii="Arial" w:cs="Arial" w:eastAsia="Arial" w:hAnsi="Arial"/>
          <w:sz w:val="20"/>
          <w:szCs w:val="20"/>
        </w:rPr>
        <w:t xml:space="preserve">WHEN a streaming response reaches its terminal event, THE Restoration_Engine SHALL perform a post-stream verification scan on the full assembled text and SHALL log a structured warning with the session_id and the count of unreplaced Tokens if any are found.</w:t>
      </w:r>
    </w:p>
    <w:p>
      <w:pPr>
        <w:pStyle w:val="ListParagraph"/>
        <w:numPr>
          <w:ilvl w:val="0"/>
          <w:numId w:val="3"/>
        </w:numPr>
        <w:spacing w:after="60" w:before="60"/>
      </w:pPr>
      <w:r>
        <w:rPr>
          <w:rFonts w:ascii="Arial" w:cs="Arial" w:eastAsia="Arial" w:hAnsi="Arial"/>
          <w:sz w:val="20"/>
          <w:szCs w:val="20"/>
        </w:rPr>
        <w:t xml:space="preserve">THE Gateway SHALL expose a Prometheus-compatible GET /metrics endpoint including at minimum: anonreq_requests_total (counter, labelled by provider and status), anonreq_detection_latency_seconds (histogram), anonreq_entities_detected_total (counter, labelled by entity type), anonreq_tokens_unrestored_total (counter), anonreq_fail_secure_events_total (counter, labelled by failure type), and anonreq_audit_log_failures_total (counter).</w:t>
      </w:r>
    </w:p>
    <w:p>
      <w:pPr>
        <w:pStyle w:val="ListParagraph"/>
        <w:numPr>
          <w:ilvl w:val="0"/>
          <w:numId w:val="3"/>
        </w:numPr>
        <w:spacing w:after="60" w:before="60"/>
      </w:pPr>
      <w:r>
        <w:rPr>
          <w:rFonts w:ascii="Arial" w:cs="Arial" w:eastAsia="Arial" w:hAnsi="Arial"/>
          <w:sz w:val="20"/>
          <w:szCs w:val="20"/>
        </w:rPr>
        <w:t xml:space="preserve">IF the post-stream verification scan encounters an exception, THEN THE Restoration_Engine SHALL log a structured error with the session_id and exception type and SHALL NOT surface the exception to the caller or alter the already-delivered streaming response.</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14: Commercial Open-Source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an investor evaluating AnonReq, I want to see a clear open-source licensing strategy and a commercial differentiation path, so that I can assess the defensibility of the business model and the governance structure.</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source code SHALL be released under the Apache License 2.0, providing enterprise users with patent protection, sublicensing rights, and compatibility with commercial redistribution without copyleft obligations.</w:t>
      </w:r>
    </w:p>
    <w:p>
      <w:pPr>
        <w:pStyle w:val="ListParagraph"/>
        <w:numPr>
          <w:ilvl w:val="0"/>
          <w:numId w:val="3"/>
        </w:numPr>
        <w:spacing w:after="60" w:before="60"/>
      </w:pPr>
      <w:r>
        <w:rPr>
          <w:rFonts w:ascii="Arial" w:cs="Arial" w:eastAsia="Arial" w:hAnsi="Arial"/>
          <w:sz w:val="20"/>
          <w:szCs w:val="20"/>
        </w:rPr>
        <w:t xml:space="preserve">THE Gateway README SHALL include a section titled 'License and Commercial Use' that states: the Apache 2.0 SPDX identifier (Apache-2.0), that the open-source core may be self-hosted without restriction, the email contact for commercial support inquiries, and a brief description of the commercial differentiation path (professional support tiers, compliance add-ons, managed deployment services, and Voice AI).</w:t>
      </w:r>
    </w:p>
    <w:p>
      <w:pPr>
        <w:pStyle w:val="ListParagraph"/>
        <w:numPr>
          <w:ilvl w:val="0"/>
          <w:numId w:val="3"/>
        </w:numPr>
        <w:spacing w:after="60" w:before="60"/>
      </w:pPr>
      <w:r>
        <w:rPr>
          <w:rFonts w:ascii="Arial" w:cs="Arial" w:eastAsia="Arial" w:hAnsi="Arial"/>
          <w:sz w:val="20"/>
          <w:szCs w:val="20"/>
        </w:rPr>
        <w:t xml:space="preserve">THE Gateway SHALL ship a NOTICE file as required by Apache 2.0 listing all third-party dependencies with: dependency name, version, and SPDX licence identifier.</w:t>
      </w:r>
    </w:p>
    <w:p>
      <w:pPr>
        <w:pStyle w:val="ListParagraph"/>
        <w:numPr>
          <w:ilvl w:val="0"/>
          <w:numId w:val="3"/>
        </w:numPr>
        <w:spacing w:after="60" w:before="60"/>
      </w:pPr>
      <w:r>
        <w:rPr>
          <w:rFonts w:ascii="Arial" w:cs="Arial" w:eastAsia="Arial" w:hAnsi="Arial"/>
          <w:sz w:val="20"/>
          <w:szCs w:val="20"/>
        </w:rPr>
        <w:t xml:space="preserve">THE Gateway repository SHALL include a SECURITY.md file defining: a responsible disclosure contact email, a target initial response time of no more than 5 business days for reports describing unauthenticated remote code execution, authentication bypass, or sensitive data exposure, and the scope of in-scope security reports.</w:t>
      </w:r>
    </w:p>
    <w:p>
      <w:pPr>
        <w:pStyle w:val="ListParagraph"/>
        <w:numPr>
          <w:ilvl w:val="0"/>
          <w:numId w:val="3"/>
        </w:numPr>
        <w:spacing w:after="60" w:before="60"/>
      </w:pPr>
      <w:r>
        <w:rPr>
          <w:rFonts w:ascii="Arial" w:cs="Arial" w:eastAsia="Arial" w:hAnsi="Arial"/>
          <w:sz w:val="20"/>
          <w:szCs w:val="20"/>
        </w:rPr>
        <w:t xml:space="preserve">THE Gateway README SHALL include a 'Roadmap / Commercial Features' section describing at least the planned commercial differentiation features: compliance dashboard, SLA-backed support, enterprise SSO integration, and the Phase 3 Sovereign Voice AI module.</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15: Developer Experience and Multilingual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developer at a European or Brazilian financial institution, I want to read the integration guide in my primary language and find working code examples for my stack, so that I can evaluate and deploy AnonReq within a single business day without requiring a sales call.</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ship a docs/ directory containing an integration quickstart guide translated into at minimum English, German, French, Spanish, and Portuguese (Brazilian). Each guide SHALL include: a Docker Compose startup walkthrough, a curl example of a complete anonymisation round-trip, and a section titled 'Verifying PII Absence in Logs' showing how to confirm no PII appears in stdout audit log output.</w:t>
      </w:r>
    </w:p>
    <w:p>
      <w:pPr>
        <w:pStyle w:val="ListParagraph"/>
        <w:numPr>
          <w:ilvl w:val="0"/>
          <w:numId w:val="3"/>
        </w:numPr>
        <w:spacing w:after="60" w:before="60"/>
      </w:pPr>
      <w:r>
        <w:rPr>
          <w:rFonts w:ascii="Arial" w:cs="Arial" w:eastAsia="Arial" w:hAnsi="Arial"/>
          <w:sz w:val="20"/>
          <w:szCs w:val="20"/>
        </w:rPr>
        <w:t xml:space="preserve">THE Gateway SHALL ship SDK usage examples in the examples/ directory for Python (using the openai SDK with base_url override), Node.js (using the openai npm package with baseURL override), and curl/shell, each demonstrating a complete round-trip with synthetic PII data. Each example SHALL include an assertion that the response contains the restored original value, not the token placeholder.</w:t>
      </w:r>
    </w:p>
    <w:p>
      <w:pPr>
        <w:pStyle w:val="ListParagraph"/>
        <w:numPr>
          <w:ilvl w:val="0"/>
          <w:numId w:val="3"/>
        </w:numPr>
        <w:spacing w:after="60" w:before="60"/>
      </w:pPr>
      <w:r>
        <w:rPr>
          <w:rFonts w:ascii="Arial" w:cs="Arial" w:eastAsia="Arial" w:hAnsi="Arial"/>
          <w:sz w:val="20"/>
          <w:szCs w:val="20"/>
        </w:rPr>
        <w:t xml:space="preserve">THE Gateway README SHALL include a 'Why AnonReq' section describing: the GDPR Article 28 processor obligation and its implications for using US-hosted LLM APIs, the US CLOUD Act extraterritorial risk for EU data stored on US-owned infrastructure, and how AnonReq's self-hosted architecture removes both risks.</w:t>
      </w:r>
    </w:p>
    <w:p>
      <w:pPr>
        <w:pStyle w:val="ListParagraph"/>
        <w:numPr>
          <w:ilvl w:val="0"/>
          <w:numId w:val="3"/>
        </w:numPr>
        <w:spacing w:after="60" w:before="60"/>
      </w:pPr>
      <w:r>
        <w:rPr>
          <w:rFonts w:ascii="Arial" w:cs="Arial" w:eastAsia="Arial" w:hAnsi="Arial"/>
          <w:sz w:val="20"/>
          <w:szCs w:val="20"/>
        </w:rPr>
        <w:t xml:space="preserve">THE Gateway SHALL ship a CHANGELOG.md following the Keep a Changelog format. The initial release entry SHALL document all features shipped in v1.0.0 under the 'Added' section.</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16: Anonymisation Correctness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principal engineer responsible for certifying AnonReq for production use, I want a property-based test suite that proves the anonymisation guarantees hold across arbitrary inputs, so that correctness is demonstrated by generative proof rather than manually selected test cases.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test suite SHALL include a property-based test verifying the round-trip correctness property: WHEN a valid prompt text T containing detectable PII entities is anonymised to T' and then de-anonymised using the generated Mapping to produce T'', THEN T'' SHALL be identical to T as a complete string.</w:t>
      </w:r>
    </w:p>
    <w:p>
      <w:pPr>
        <w:pStyle w:val="ListParagraph"/>
        <w:numPr>
          <w:ilvl w:val="0"/>
          <w:numId w:val="3"/>
        </w:numPr>
        <w:spacing w:after="60" w:before="60"/>
      </w:pPr>
      <w:r>
        <w:rPr>
          <w:rFonts w:ascii="Arial" w:cs="Arial" w:eastAsia="Arial" w:hAnsi="Arial"/>
          <w:sz w:val="20"/>
          <w:szCs w:val="20"/>
        </w:rPr>
        <w:t xml:space="preserve">THE test suite SHALL include a property-based test verifying the token uniqueness invariant: WHEN a prompt text contains N distinct entity values of type X, THEN THE Tokenization_Engine SHALL produce exactly N distinct Tokens of type X in the output, with no two distinct values sharing the same Token string.</w:t>
      </w:r>
    </w:p>
    <w:p>
      <w:pPr>
        <w:pStyle w:val="ListParagraph"/>
        <w:numPr>
          <w:ilvl w:val="0"/>
          <w:numId w:val="3"/>
        </w:numPr>
        <w:spacing w:after="60" w:before="60"/>
      </w:pPr>
      <w:r>
        <w:rPr>
          <w:rFonts w:ascii="Arial" w:cs="Arial" w:eastAsia="Arial" w:hAnsi="Arial"/>
          <w:sz w:val="20"/>
          <w:szCs w:val="20"/>
        </w:rPr>
        <w:t xml:space="preserve">THE test suite SHALL include a property-based test verifying the deduplication invariant: WHEN entity value V appears K &gt;= 2 times in a prompt text, THEN all K occurrences in the tokenised output SHALL contain the same Token string.</w:t>
      </w:r>
    </w:p>
    <w:p>
      <w:pPr>
        <w:pStyle w:val="ListParagraph"/>
        <w:numPr>
          <w:ilvl w:val="0"/>
          <w:numId w:val="3"/>
        </w:numPr>
        <w:spacing w:after="60" w:before="60"/>
      </w:pPr>
      <w:r>
        <w:rPr>
          <w:rFonts w:ascii="Arial" w:cs="Arial" w:eastAsia="Arial" w:hAnsi="Arial"/>
          <w:sz w:val="20"/>
          <w:szCs w:val="20"/>
        </w:rPr>
        <w:t xml:space="preserve">THE test suite SHALL include property-based tests verifying the fail-secure invariant with each failure mode tested independently: (a) WHEN the Detection_Engine is unavailable, THE Gateway SHALL return HTTP 500 and the forwarded request count to the external provider SHALL be 0; (b) WHEN the Cache_Manager is unavailable, THE Gateway SHALL return HTTP 500 and the forwarded request count SHALL be 0; (c) WHEN the detection pipeline times out, THE Gateway SHALL return HTTP 500 and the forwarded request count SHALL be 0.</w:t>
      </w:r>
    </w:p>
    <w:p>
      <w:pPr>
        <w:pStyle w:val="ListParagraph"/>
        <w:numPr>
          <w:ilvl w:val="0"/>
          <w:numId w:val="3"/>
        </w:numPr>
        <w:spacing w:after="60" w:before="60"/>
      </w:pPr>
      <w:r>
        <w:rPr>
          <w:rFonts w:ascii="Arial" w:cs="Arial" w:eastAsia="Arial" w:hAnsi="Arial"/>
          <w:sz w:val="20"/>
          <w:szCs w:val="20"/>
        </w:rPr>
        <w:t xml:space="preserve">THE test suite SHALL include a property-based test verifying the locale checksum validation property: WHEN a randomly generated digit sequence of the correct length is provided for each locale-specific national ID type and the sequence does not satisfy the respective checksum algorithm, THEN THE Detection_Engine SHALL NOT flag it as a detected entity.</w:t>
      </w:r>
    </w:p>
    <w:p>
      <w:pPr>
        <w:pStyle w:val="ListParagraph"/>
        <w:numPr>
          <w:ilvl w:val="0"/>
          <w:numId w:val="3"/>
        </w:numPr>
        <w:spacing w:after="60" w:before="60"/>
      </w:pPr>
      <w:r>
        <w:rPr>
          <w:rFonts w:ascii="Arial" w:cs="Arial" w:eastAsia="Arial" w:hAnsi="Arial"/>
          <w:sz w:val="20"/>
          <w:szCs w:val="20"/>
        </w:rPr>
        <w:t xml:space="preserve">THE test suite SHALL include a property-based test verifying the no-PII-in-logs property: WHEN a request payload containing synthetic PII test data is processed, THEN the structured log output produced by THE Audit_Logger SHALL contain no substrings matching the PII values.</w:t>
      </w:r>
    </w:p>
    <w:p>
      <w:pPr>
        <w:pStyle w:val="ListParagraph"/>
        <w:numPr>
          <w:ilvl w:val="0"/>
          <w:numId w:val="3"/>
        </w:numPr>
        <w:spacing w:after="60" w:before="60"/>
      </w:pPr>
      <w:r>
        <w:rPr>
          <w:rFonts w:ascii="Arial" w:cs="Arial" w:eastAsia="Arial" w:hAnsi="Arial"/>
          <w:sz w:val="20"/>
          <w:szCs w:val="20"/>
        </w:rPr>
        <w:t xml:space="preserve">THE test suite SHALL include a property-based test verifying the streaming round-trip property: WHEN a response containing Tokens is split into two SSE chunks at every possible split index of each Token string, THEN THE Restoration_Engine SHALL produce a final assembled output that is character-for-character identical to the non-streaming restoration of the same content.</w:t>
      </w:r>
    </w:p>
    <w:p>
      <w:pPr>
        <w:pBdr>
          <w:bottom w:val="single" w:color="BFCFDF" w:sz="4" w:space="2"/>
        </w:pBdr>
        <w:spacing w:after="120" w:before="120"/>
      </w:pPr>
    </w:p>
    <w:p>
      <w:r>
        <w:br w:type="page"/>
      </w:r>
    </w:p>
    <w:p>
      <w:pPr>
        <w:pStyle w:val="Heading1"/>
        <w:pBdr>
          <w:bottom w:val="single" w:color="1B3A6B" w:sz="8" w:space="4"/>
        </w:pBdr>
        <w:spacing w:after="120" w:before="480"/>
      </w:pPr>
      <w:r>
        <w:rPr>
          <w:rFonts w:ascii="Arial" w:cs="Arial" w:eastAsia="Arial" w:hAnsi="Arial"/>
          <w:b/>
          <w:bCs/>
          <w:color w:val="1B3A6B"/>
          <w:sz w:val="32"/>
          <w:szCs w:val="32"/>
        </w:rPr>
        <w:t xml:space="preserve">Phase 2 — Enterprise &amp; Financial Services</w:t>
      </w:r>
    </w:p>
    <w:p>
      <w:pPr>
        <w:spacing w:after="100" w:before="60"/>
      </w:pPr>
      <w:r>
        <w:rPr>
          <w:rFonts w:ascii="Arial" w:cs="Arial" w:eastAsia="Arial" w:hAnsi="Arial"/>
          <w:i/>
          <w:iCs/>
          <w:color w:val="5A6B7A"/>
          <w:sz w:val="18"/>
          <w:szCs w:val="18"/>
        </w:rPr>
        <w:t xml:space="preserve">Requirements 17–47 define commercial-tier features available under the AnonReq Enterprise Licence. They build on the Phase 1 core and must not be shipped before all Phase 1 requirements are met.</w:t>
      </w:r>
    </w:p>
    <w:p>
      <w:pPr>
        <w:spacing w:before="100"/>
      </w:pPr>
    </w:p>
    <w:p>
      <w:pPr>
        <w:pStyle w:val="Heading2"/>
        <w:spacing w:after="80" w:before="360"/>
      </w:pPr>
      <w:r>
        <w:rPr>
          <w:rFonts w:ascii="Arial" w:cs="Arial" w:eastAsia="Arial" w:hAnsi="Arial"/>
          <w:b/>
          <w:bCs/>
          <w:color w:val="2E6DA4"/>
          <w:sz w:val="26"/>
          <w:szCs w:val="26"/>
        </w:rPr>
        <w:t xml:space="preserve">Requirement 17: Enterprise Authentication and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security administrator, I want all gateway and administrative interfaces protected by strong authentication and role-based authorisation, so that only approved users and systems can access sensitive functionality.</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authentication using API keys, OAuth2 JWT bearer tokens, and mutual TLS (mTLS).</w:t>
      </w:r>
    </w:p>
    <w:p>
      <w:pPr>
        <w:pStyle w:val="ListParagraph"/>
        <w:numPr>
          <w:ilvl w:val="0"/>
          <w:numId w:val="3"/>
        </w:numPr>
        <w:spacing w:after="60" w:before="60"/>
      </w:pPr>
      <w:r>
        <w:rPr>
          <w:rFonts w:ascii="Arial" w:cs="Arial" w:eastAsia="Arial" w:hAnsi="Arial"/>
          <w:sz w:val="20"/>
          <w:szCs w:val="20"/>
        </w:rPr>
        <w:t xml:space="preserve">WHEN a request is received without valid authentication credentials, THE Gateway SHALL return HTTP 401 and SHALL NOT process the request.</w:t>
      </w:r>
    </w:p>
    <w:p>
      <w:pPr>
        <w:pStyle w:val="ListParagraph"/>
        <w:numPr>
          <w:ilvl w:val="0"/>
          <w:numId w:val="3"/>
        </w:numPr>
        <w:spacing w:after="60" w:before="60"/>
      </w:pPr>
      <w:r>
        <w:rPr>
          <w:rFonts w:ascii="Arial" w:cs="Arial" w:eastAsia="Arial" w:hAnsi="Arial"/>
          <w:sz w:val="20"/>
          <w:szCs w:val="20"/>
        </w:rPr>
        <w:t xml:space="preserve">THE Gateway SHALL support the following built-in roles: administrator, security_officer, operator, read_only_auditor.</w:t>
      </w:r>
    </w:p>
    <w:p>
      <w:pPr>
        <w:pStyle w:val="ListParagraph"/>
        <w:numPr>
          <w:ilvl w:val="0"/>
          <w:numId w:val="3"/>
        </w:numPr>
        <w:spacing w:after="60" w:before="60"/>
      </w:pPr>
      <w:r>
        <w:rPr>
          <w:rFonts w:ascii="Arial" w:cs="Arial" w:eastAsia="Arial" w:hAnsi="Arial"/>
          <w:sz w:val="20"/>
          <w:szCs w:val="20"/>
        </w:rPr>
        <w:t xml:space="preserve">WHEN a user attempts to access an administrative endpoint without sufficient privileges, THE Gateway SHALL return HTTP 403.</w:t>
      </w:r>
    </w:p>
    <w:p>
      <w:pPr>
        <w:pStyle w:val="ListParagraph"/>
        <w:numPr>
          <w:ilvl w:val="0"/>
          <w:numId w:val="3"/>
        </w:numPr>
        <w:spacing w:after="60" w:before="60"/>
      </w:pPr>
      <w:r>
        <w:rPr>
          <w:rFonts w:ascii="Arial" w:cs="Arial" w:eastAsia="Arial" w:hAnsi="Arial"/>
          <w:sz w:val="20"/>
          <w:szCs w:val="20"/>
        </w:rPr>
        <w:t xml:space="preserve">THE Gateway SHALL require authentication for all administrative endpoints including /v1/config/*, /v1/compliance/*, /metrics, and /health (configurable).</w:t>
      </w:r>
    </w:p>
    <w:p>
      <w:pPr>
        <w:pStyle w:val="ListParagraph"/>
        <w:numPr>
          <w:ilvl w:val="0"/>
          <w:numId w:val="3"/>
        </w:numPr>
        <w:spacing w:after="60" w:before="60"/>
      </w:pPr>
      <w:r>
        <w:rPr>
          <w:rFonts w:ascii="Arial" w:cs="Arial" w:eastAsia="Arial" w:hAnsi="Arial"/>
          <w:sz w:val="20"/>
          <w:szCs w:val="20"/>
        </w:rPr>
        <w:t xml:space="preserve">THE Gateway SHALL support external identity providers via OpenID Connect (OIDC) and SAML 2.0.</w:t>
      </w:r>
    </w:p>
    <w:p>
      <w:pPr>
        <w:pStyle w:val="ListParagraph"/>
        <w:numPr>
          <w:ilvl w:val="0"/>
          <w:numId w:val="3"/>
        </w:numPr>
        <w:spacing w:after="60" w:before="60"/>
      </w:pPr>
      <w:r>
        <w:rPr>
          <w:rFonts w:ascii="Arial" w:cs="Arial" w:eastAsia="Arial" w:hAnsi="Arial"/>
          <w:sz w:val="20"/>
          <w:szCs w:val="20"/>
        </w:rPr>
        <w:t xml:space="preserve">THE Gateway SHALL record all administrative authentication and authorisation events in structured audit logs.</w:t>
      </w:r>
    </w:p>
    <w:p>
      <w:pPr>
        <w:pStyle w:val="ListParagraph"/>
        <w:numPr>
          <w:ilvl w:val="0"/>
          <w:numId w:val="3"/>
        </w:numPr>
        <w:spacing w:after="60" w:before="60"/>
      </w:pPr>
      <w:r>
        <w:rPr>
          <w:rFonts w:ascii="Arial" w:cs="Arial" w:eastAsia="Arial" w:hAnsi="Arial"/>
          <w:sz w:val="20"/>
          <w:szCs w:val="20"/>
        </w:rPr>
        <w:t xml:space="preserve">IF authentication services become unavailable, THEN THE Gateway SHALL fail closed and deny access to all administrative functions.</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18: Enterprise Security, Secrets Management, and Network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Chief Information Security Officer, I want all communications, credentials, and administrative operations protected by enterprise security controls, so that the gateway can be deployed in regulated environments.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TLS 1.3 for all external communications.</w:t>
      </w:r>
    </w:p>
    <w:p>
      <w:pPr>
        <w:pStyle w:val="ListParagraph"/>
        <w:numPr>
          <w:ilvl w:val="0"/>
          <w:numId w:val="3"/>
        </w:numPr>
        <w:spacing w:after="60" w:before="60"/>
      </w:pPr>
      <w:r>
        <w:rPr>
          <w:rFonts w:ascii="Arial" w:cs="Arial" w:eastAsia="Arial" w:hAnsi="Arial"/>
          <w:sz w:val="20"/>
          <w:szCs w:val="20"/>
        </w:rPr>
        <w:t xml:space="preserve">THE Gateway SHALL support mTLS between: Gateway and Detection_Engine, Gateway and Cache_Manager, Gateway and upstream providers (where supported).</w:t>
      </w:r>
    </w:p>
    <w:p>
      <w:pPr>
        <w:pStyle w:val="ListParagraph"/>
        <w:numPr>
          <w:ilvl w:val="0"/>
          <w:numId w:val="3"/>
        </w:numPr>
        <w:spacing w:after="60" w:before="60"/>
      </w:pPr>
      <w:r>
        <w:rPr>
          <w:rFonts w:ascii="Arial" w:cs="Arial" w:eastAsia="Arial" w:hAnsi="Arial"/>
          <w:sz w:val="20"/>
          <w:szCs w:val="20"/>
        </w:rPr>
        <w:t xml:space="preserve">THE Gateway SHALL support secret retrieval from: HashiCorp Vault, AWS Secrets Manager, Azure Key Vault, and Google Secret Manager.</w:t>
      </w:r>
    </w:p>
    <w:p>
      <w:pPr>
        <w:pStyle w:val="ListParagraph"/>
        <w:numPr>
          <w:ilvl w:val="0"/>
          <w:numId w:val="3"/>
        </w:numPr>
        <w:spacing w:after="60" w:before="60"/>
      </w:pPr>
      <w:r>
        <w:rPr>
          <w:rFonts w:ascii="Arial" w:cs="Arial" w:eastAsia="Arial" w:hAnsi="Arial"/>
          <w:sz w:val="20"/>
          <w:szCs w:val="20"/>
        </w:rPr>
        <w:t xml:space="preserve">THE Gateway SHALL support automatic secret rotation without requiring process restart.</w:t>
      </w:r>
    </w:p>
    <w:p>
      <w:pPr>
        <w:pStyle w:val="ListParagraph"/>
        <w:numPr>
          <w:ilvl w:val="0"/>
          <w:numId w:val="3"/>
        </w:numPr>
        <w:spacing w:after="60" w:before="60"/>
      </w:pPr>
      <w:r>
        <w:rPr>
          <w:rFonts w:ascii="Arial" w:cs="Arial" w:eastAsia="Arial" w:hAnsi="Arial"/>
          <w:sz w:val="20"/>
          <w:szCs w:val="20"/>
        </w:rPr>
        <w:t xml:space="preserve">THE Gateway SHALL never write secret values to logs, metrics, error messages, or audit events.</w:t>
      </w:r>
    </w:p>
    <w:p>
      <w:pPr>
        <w:pStyle w:val="ListParagraph"/>
        <w:numPr>
          <w:ilvl w:val="0"/>
          <w:numId w:val="3"/>
        </w:numPr>
        <w:spacing w:after="60" w:before="60"/>
      </w:pPr>
      <w:r>
        <w:rPr>
          <w:rFonts w:ascii="Arial" w:cs="Arial" w:eastAsia="Arial" w:hAnsi="Arial"/>
          <w:sz w:val="20"/>
          <w:szCs w:val="20"/>
        </w:rPr>
        <w:t xml:space="preserve">THE Gateway SHALL verify that all loaded secrets are present and valid during startup validation.</w:t>
      </w:r>
    </w:p>
    <w:p>
      <w:pPr>
        <w:pStyle w:val="ListParagraph"/>
        <w:numPr>
          <w:ilvl w:val="0"/>
          <w:numId w:val="3"/>
        </w:numPr>
        <w:spacing w:after="60" w:before="60"/>
      </w:pPr>
      <w:r>
        <w:rPr>
          <w:rFonts w:ascii="Arial" w:cs="Arial" w:eastAsia="Arial" w:hAnsi="Arial"/>
          <w:sz w:val="20"/>
          <w:szCs w:val="20"/>
        </w:rPr>
        <w:t xml:space="preserve">THE Gateway SHALL expose a security status endpoint that reports secret-source health without exposing secret values.</w:t>
      </w:r>
    </w:p>
    <w:p>
      <w:pPr>
        <w:pStyle w:val="ListParagraph"/>
        <w:numPr>
          <w:ilvl w:val="0"/>
          <w:numId w:val="3"/>
        </w:numPr>
        <w:spacing w:after="60" w:before="60"/>
      </w:pPr>
      <w:r>
        <w:rPr>
          <w:rFonts w:ascii="Arial" w:cs="Arial" w:eastAsia="Arial" w:hAnsi="Arial"/>
          <w:sz w:val="20"/>
          <w:szCs w:val="20"/>
        </w:rPr>
        <w:t xml:space="preserve">IF secret retrieval fails, THEN THE Gateway SHALL fail secure and SHALL NOT process requests requiring the missing secret.</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19: Multi-Tenant Isolation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platform owner serving multiple customers, I want complete tenant isolation so that one tenant can never access another tenant's data, configuration, or audit records.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multiple tenants within a single deployment.</w:t>
      </w:r>
    </w:p>
    <w:p>
      <w:pPr>
        <w:pStyle w:val="ListParagraph"/>
        <w:numPr>
          <w:ilvl w:val="0"/>
          <w:numId w:val="3"/>
        </w:numPr>
        <w:spacing w:after="60" w:before="60"/>
      </w:pPr>
      <w:r>
        <w:rPr>
          <w:rFonts w:ascii="Arial" w:cs="Arial" w:eastAsia="Arial" w:hAnsi="Arial"/>
          <w:sz w:val="20"/>
          <w:szCs w:val="20"/>
        </w:rPr>
        <w:t xml:space="preserve">EACH tenant SHALL have independent: compliance presets, provider credentials, custom recognisers, exclusion lists, audit logs, and metrics.</w:t>
      </w:r>
    </w:p>
    <w:p>
      <w:pPr>
        <w:pStyle w:val="ListParagraph"/>
        <w:numPr>
          <w:ilvl w:val="0"/>
          <w:numId w:val="3"/>
        </w:numPr>
        <w:spacing w:after="60" w:before="60"/>
      </w:pPr>
      <w:r>
        <w:rPr>
          <w:rFonts w:ascii="Arial" w:cs="Arial" w:eastAsia="Arial" w:hAnsi="Arial"/>
          <w:sz w:val="20"/>
          <w:szCs w:val="20"/>
        </w:rPr>
        <w:t xml:space="preserve">THE Cache_Manager SHALL namespace all mappings using both Tenant_ID and Session_ID.</w:t>
      </w:r>
    </w:p>
    <w:p>
      <w:pPr>
        <w:pStyle w:val="ListParagraph"/>
        <w:numPr>
          <w:ilvl w:val="0"/>
          <w:numId w:val="3"/>
        </w:numPr>
        <w:spacing w:after="60" w:before="60"/>
      </w:pPr>
      <w:r>
        <w:rPr>
          <w:rFonts w:ascii="Arial" w:cs="Arial" w:eastAsia="Arial" w:hAnsi="Arial"/>
          <w:sz w:val="20"/>
          <w:szCs w:val="20"/>
        </w:rPr>
        <w:t xml:space="preserve">THE Gateway SHALL reject requests that reference unknown Tenant_ID values.</w:t>
      </w:r>
    </w:p>
    <w:p>
      <w:pPr>
        <w:pStyle w:val="ListParagraph"/>
        <w:numPr>
          <w:ilvl w:val="0"/>
          <w:numId w:val="3"/>
        </w:numPr>
        <w:spacing w:after="60" w:before="60"/>
      </w:pPr>
      <w:r>
        <w:rPr>
          <w:rFonts w:ascii="Arial" w:cs="Arial" w:eastAsia="Arial" w:hAnsi="Arial"/>
          <w:sz w:val="20"/>
          <w:szCs w:val="20"/>
        </w:rPr>
        <w:t xml:space="preserve">THE Gateway SHALL support per-tenant rate limits, usage quotas, and model access restrictions.</w:t>
      </w:r>
    </w:p>
    <w:p>
      <w:pPr>
        <w:pStyle w:val="ListParagraph"/>
        <w:numPr>
          <w:ilvl w:val="0"/>
          <w:numId w:val="3"/>
        </w:numPr>
        <w:spacing w:after="60" w:before="60"/>
      </w:pPr>
      <w:r>
        <w:rPr>
          <w:rFonts w:ascii="Arial" w:cs="Arial" w:eastAsia="Arial" w:hAnsi="Arial"/>
          <w:sz w:val="20"/>
          <w:szCs w:val="20"/>
        </w:rPr>
        <w:t xml:space="preserve">FOR ALL requests, tenant context SHALL remain isolated from every other tenant throughout request processing, caching, logging, and metrics generation.</w:t>
      </w:r>
    </w:p>
    <w:p>
      <w:pPr>
        <w:pStyle w:val="ListParagraph"/>
        <w:numPr>
          <w:ilvl w:val="0"/>
          <w:numId w:val="3"/>
        </w:numPr>
        <w:spacing w:after="60" w:before="60"/>
      </w:pPr>
      <w:r>
        <w:rPr>
          <w:rFonts w:ascii="Arial" w:cs="Arial" w:eastAsia="Arial" w:hAnsi="Arial"/>
          <w:sz w:val="20"/>
          <w:szCs w:val="20"/>
        </w:rPr>
        <w:t xml:space="preserve">EACH tenant SHALL have a named administrator whose approval is required for changes to that tenant's compliance preset or provider configuration.</w:t>
      </w:r>
    </w:p>
    <w:p>
      <w:pPr>
        <w:pStyle w:val="ListParagraph"/>
        <w:numPr>
          <w:ilvl w:val="0"/>
          <w:numId w:val="3"/>
        </w:numPr>
        <w:spacing w:after="60" w:before="60"/>
      </w:pPr>
      <w:r>
        <w:rPr>
          <w:rFonts w:ascii="Arial" w:cs="Arial" w:eastAsia="Arial" w:hAnsi="Arial"/>
          <w:sz w:val="20"/>
          <w:szCs w:val="20"/>
        </w:rPr>
        <w:t xml:space="preserve">THE Gateway SHALL provide per-tenant audit log export via authenticated API endpoint.</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20: High Availability, Scalability, and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an infrastructure architect, I want AnonReq to continue operating during component failures and scale horizontally under load, so that it can support enterprise production environments.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horizontal scaling across multiple instances behind a load balancer.</w:t>
      </w:r>
    </w:p>
    <w:p>
      <w:pPr>
        <w:pStyle w:val="ListParagraph"/>
        <w:numPr>
          <w:ilvl w:val="0"/>
          <w:numId w:val="3"/>
        </w:numPr>
        <w:spacing w:after="60" w:before="60"/>
      </w:pPr>
      <w:r>
        <w:rPr>
          <w:rFonts w:ascii="Arial" w:cs="Arial" w:eastAsia="Arial" w:hAnsi="Arial"/>
          <w:sz w:val="20"/>
          <w:szCs w:val="20"/>
        </w:rPr>
        <w:t xml:space="preserve">THE Cache_Manager SHALL support high-availability deployments with automatic failover (e.g., Valkey Sentinel or cluster mode).</w:t>
      </w:r>
    </w:p>
    <w:p>
      <w:pPr>
        <w:pStyle w:val="ListParagraph"/>
        <w:numPr>
          <w:ilvl w:val="0"/>
          <w:numId w:val="3"/>
        </w:numPr>
        <w:spacing w:after="60" w:before="60"/>
      </w:pPr>
      <w:r>
        <w:rPr>
          <w:rFonts w:ascii="Arial" w:cs="Arial" w:eastAsia="Arial" w:hAnsi="Arial"/>
          <w:sz w:val="20"/>
          <w:szCs w:val="20"/>
        </w:rPr>
        <w:t xml:space="preserve">THE Gateway SHALL support Kubernetes deployment using Helm charts with documented values.yaml parameters.</w:t>
      </w:r>
    </w:p>
    <w:p>
      <w:pPr>
        <w:pStyle w:val="ListParagraph"/>
        <w:numPr>
          <w:ilvl w:val="0"/>
          <w:numId w:val="3"/>
        </w:numPr>
        <w:spacing w:after="60" w:before="60"/>
      </w:pPr>
      <w:r>
        <w:rPr>
          <w:rFonts w:ascii="Arial" w:cs="Arial" w:eastAsia="Arial" w:hAnsi="Arial"/>
          <w:sz w:val="20"/>
          <w:szCs w:val="20"/>
        </w:rPr>
        <w:t xml:space="preserve">THE Gateway SHALL provide Kubernetes readiness and liveness probes that accurately reflect the Gateway's ability to serve traffic.</w:t>
      </w:r>
    </w:p>
    <w:p>
      <w:pPr>
        <w:pStyle w:val="ListParagraph"/>
        <w:numPr>
          <w:ilvl w:val="0"/>
          <w:numId w:val="3"/>
        </w:numPr>
        <w:spacing w:after="60" w:before="60"/>
      </w:pPr>
      <w:r>
        <w:rPr>
          <w:rFonts w:ascii="Arial" w:cs="Arial" w:eastAsia="Arial" w:hAnsi="Arial"/>
          <w:sz w:val="20"/>
          <w:szCs w:val="20"/>
        </w:rPr>
        <w:t xml:space="preserve">THE Gateway SHALL support rolling upgrades with zero downtime.</w:t>
      </w:r>
    </w:p>
    <w:p>
      <w:pPr>
        <w:pStyle w:val="ListParagraph"/>
        <w:numPr>
          <w:ilvl w:val="0"/>
          <w:numId w:val="3"/>
        </w:numPr>
        <w:spacing w:after="60" w:before="60"/>
      </w:pPr>
      <w:r>
        <w:rPr>
          <w:rFonts w:ascii="Arial" w:cs="Arial" w:eastAsia="Arial" w:hAnsi="Arial"/>
          <w:sz w:val="20"/>
          <w:szCs w:val="20"/>
        </w:rPr>
        <w:t xml:space="preserve">THE Gateway SHALL support recovery from node failures without loss of active configuration. Recovery Time Objective (RTO) SHALL be no greater than 15 minutes. Recovery Point Objective (RPO) for configuration data SHALL be 0.</w:t>
      </w:r>
    </w:p>
    <w:p>
      <w:pPr>
        <w:pStyle w:val="ListParagraph"/>
        <w:numPr>
          <w:ilvl w:val="0"/>
          <w:numId w:val="3"/>
        </w:numPr>
        <w:spacing w:after="60" w:before="60"/>
      </w:pPr>
      <w:r>
        <w:rPr>
          <w:rFonts w:ascii="Arial" w:cs="Arial" w:eastAsia="Arial" w:hAnsi="Arial"/>
          <w:sz w:val="20"/>
          <w:szCs w:val="20"/>
        </w:rPr>
        <w:t xml:space="preserve">THE Gateway SHALL publish documented minimum sizing recommendations for development, staging, and production deployments.</w:t>
      </w:r>
    </w:p>
    <w:p>
      <w:pPr>
        <w:pStyle w:val="ListParagraph"/>
        <w:numPr>
          <w:ilvl w:val="0"/>
          <w:numId w:val="3"/>
        </w:numPr>
        <w:spacing w:after="60" w:before="60"/>
      </w:pPr>
      <w:r>
        <w:rPr>
          <w:rFonts w:ascii="Arial" w:cs="Arial" w:eastAsia="Arial" w:hAnsi="Arial"/>
          <w:sz w:val="20"/>
          <w:szCs w:val="20"/>
        </w:rPr>
        <w:t xml:space="preserve">IF a Gateway instance fails while processing requests, THEN other healthy instances SHALL continue serving traffic without service interruption.</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21: Network-Layer Appliance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CISO at a financial institution, I want AnonReq to operate as a network-layer appliance that intercepts all outbound LLM API traffic from any application on the corporate network, so that no code changes are required in any of our applications and no request can bypass the anonymisation layer.</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an Appliance_Mode deployment topology in which it operates as a transparent HTTP/HTTPS proxy at the network layer, intercepting all outbound traffic to configured LLM provider domains without requiring application-level configuration changes.</w:t>
      </w:r>
    </w:p>
    <w:p>
      <w:pPr>
        <w:pStyle w:val="ListParagraph"/>
        <w:numPr>
          <w:ilvl w:val="0"/>
          <w:numId w:val="3"/>
        </w:numPr>
        <w:spacing w:after="60" w:before="60"/>
      </w:pPr>
      <w:r>
        <w:rPr>
          <w:rFonts w:ascii="Arial" w:cs="Arial" w:eastAsia="Arial" w:hAnsi="Arial"/>
          <w:sz w:val="20"/>
          <w:szCs w:val="20"/>
        </w:rPr>
        <w:t xml:space="preserve">WHEN operating in Appliance_Mode, THE Gateway SHALL perform TLS inspection (SSL bump) using a corporate CA certificate, enabling decryption, anonymisation, re-encryption, and forwarding of HTTPS traffic to external LLM providers.</w:t>
      </w:r>
    </w:p>
    <w:p>
      <w:pPr>
        <w:pStyle w:val="ListParagraph"/>
        <w:numPr>
          <w:ilvl w:val="0"/>
          <w:numId w:val="3"/>
        </w:numPr>
        <w:spacing w:after="60" w:before="60"/>
      </w:pPr>
      <w:r>
        <w:rPr>
          <w:rFonts w:ascii="Arial" w:cs="Arial" w:eastAsia="Arial" w:hAnsi="Arial"/>
          <w:sz w:val="20"/>
          <w:szCs w:val="20"/>
        </w:rPr>
        <w:t xml:space="preserve">WHEN operating in Appliance_Mode, THE Gateway SHALL support deployment as a virtual appliance (OVA/OVF format), a Docker-based software appliance, and a Kubernetes DaemonSet intercepting egress traffic.</w:t>
      </w:r>
    </w:p>
    <w:p>
      <w:pPr>
        <w:pStyle w:val="ListParagraph"/>
        <w:numPr>
          <w:ilvl w:val="0"/>
          <w:numId w:val="3"/>
        </w:numPr>
        <w:spacing w:after="60" w:before="60"/>
      </w:pPr>
      <w:r>
        <w:rPr>
          <w:rFonts w:ascii="Arial" w:cs="Arial" w:eastAsia="Arial" w:hAnsi="Arial"/>
          <w:sz w:val="20"/>
          <w:szCs w:val="20"/>
        </w:rPr>
        <w:t xml:space="preserve">THE Gateway SHALL support network routing configurations where it is positioned between the internal corporate network and the perimeter firewall, ensuring that no LLM API request can bypass it without traversing a blocked network path.</w:t>
      </w:r>
    </w:p>
    <w:p>
      <w:pPr>
        <w:pStyle w:val="ListParagraph"/>
        <w:numPr>
          <w:ilvl w:val="0"/>
          <w:numId w:val="3"/>
        </w:numPr>
        <w:spacing w:after="60" w:before="60"/>
      </w:pPr>
      <w:r>
        <w:rPr>
          <w:rFonts w:ascii="Arial" w:cs="Arial" w:eastAsia="Arial" w:hAnsi="Arial"/>
          <w:sz w:val="20"/>
          <w:szCs w:val="20"/>
        </w:rPr>
        <w:t xml:space="preserve">THE Gateway SHALL support integration with corporate proxy infrastructure (explicit proxy mode) as an alternative to transparent interception, enabling deployment without network re-routing in environments with existing forward proxy architecture.</w:t>
      </w:r>
    </w:p>
    <w:p>
      <w:pPr>
        <w:pStyle w:val="ListParagraph"/>
        <w:numPr>
          <w:ilvl w:val="0"/>
          <w:numId w:val="3"/>
        </w:numPr>
        <w:spacing w:after="60" w:before="60"/>
      </w:pPr>
      <w:r>
        <w:rPr>
          <w:rFonts w:ascii="Arial" w:cs="Arial" w:eastAsia="Arial" w:hAnsi="Arial"/>
          <w:sz w:val="20"/>
          <w:szCs w:val="20"/>
        </w:rPr>
        <w:t xml:space="preserve">WHEN operating in Appliance_Mode, THE Gateway SHALL log all intercepted LLM API connections (source IP, destination domain, timestamp, bytes transferred) at the connection level without logging payload content.</w:t>
      </w:r>
    </w:p>
    <w:p>
      <w:pPr>
        <w:pStyle w:val="ListParagraph"/>
        <w:numPr>
          <w:ilvl w:val="0"/>
          <w:numId w:val="3"/>
        </w:numPr>
        <w:spacing w:after="60" w:before="60"/>
      </w:pPr>
      <w:r>
        <w:rPr>
          <w:rFonts w:ascii="Arial" w:cs="Arial" w:eastAsia="Arial" w:hAnsi="Arial"/>
          <w:sz w:val="20"/>
          <w:szCs w:val="20"/>
        </w:rPr>
        <w:t xml:space="preserve">THE Gateway SHALL support domain-allowlist and domain-blocklist configurations that enforce which LLM provider endpoints are accessible from the corporate network, blocking access to non-approved providers regardless of application configuration.</w:t>
      </w:r>
    </w:p>
    <w:p>
      <w:pPr>
        <w:pStyle w:val="ListParagraph"/>
        <w:numPr>
          <w:ilvl w:val="0"/>
          <w:numId w:val="3"/>
        </w:numPr>
        <w:spacing w:after="60" w:before="60"/>
      </w:pPr>
      <w:r>
        <w:rPr>
          <w:rFonts w:ascii="Arial" w:cs="Arial" w:eastAsia="Arial" w:hAnsi="Arial"/>
          <w:sz w:val="20"/>
          <w:szCs w:val="20"/>
        </w:rPr>
        <w:t xml:space="preserve">THE appliance deployment SHALL be operable without any changes to existing application code, server configurations, or developer workflows — the only required change is the network routing rule directing LLM traffic through the Gateway.</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22: Data Sovereignty and Geographic Routing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compliance officer at a European financial institution, I want to enforce that all LLM API traffic is routed only to providers and regions approved under our data localisation policy, so that we can demonstrate to regulators that no data has been processed outside approved jurisdictions.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region-specific provider routing policies that restrict which provider endpoints are available based on the request's data classification and the tenant's geographic policy.</w:t>
      </w:r>
    </w:p>
    <w:p>
      <w:pPr>
        <w:pStyle w:val="ListParagraph"/>
        <w:numPr>
          <w:ilvl w:val="0"/>
          <w:numId w:val="3"/>
        </w:numPr>
        <w:spacing w:after="60" w:before="60"/>
      </w:pPr>
      <w:r>
        <w:rPr>
          <w:rFonts w:ascii="Arial" w:cs="Arial" w:eastAsia="Arial" w:hAnsi="Arial"/>
          <w:sz w:val="20"/>
          <w:szCs w:val="20"/>
        </w:rPr>
        <w:t xml:space="preserve">THE Gateway SHALL support geographic restriction presets including: EU-only, Germany-only, Nordic-only (Sweden, Norway, Denmark, Finland), Canada-only, Australia-only, and customer-defined region sets.</w:t>
      </w:r>
    </w:p>
    <w:p>
      <w:pPr>
        <w:pStyle w:val="ListParagraph"/>
        <w:numPr>
          <w:ilvl w:val="0"/>
          <w:numId w:val="3"/>
        </w:numPr>
        <w:spacing w:after="60" w:before="60"/>
      </w:pPr>
      <w:r>
        <w:rPr>
          <w:rFonts w:ascii="Arial" w:cs="Arial" w:eastAsia="Arial" w:hAnsi="Arial"/>
          <w:sz w:val="20"/>
          <w:szCs w:val="20"/>
        </w:rPr>
        <w:t xml:space="preserve">WHEN a routing policy prohibits a provider location, THE Gateway SHALL reject the request with HTTP 403 and a structured error body identifying the policy violation, rather than routing outside the approved region.</w:t>
      </w:r>
    </w:p>
    <w:p>
      <w:pPr>
        <w:pStyle w:val="ListParagraph"/>
        <w:numPr>
          <w:ilvl w:val="0"/>
          <w:numId w:val="3"/>
        </w:numPr>
        <w:spacing w:after="60" w:before="60"/>
      </w:pPr>
      <w:r>
        <w:rPr>
          <w:rFonts w:ascii="Arial" w:cs="Arial" w:eastAsia="Arial" w:hAnsi="Arial"/>
          <w:sz w:val="20"/>
          <w:szCs w:val="20"/>
        </w:rPr>
        <w:t xml:space="preserve">THE Gateway SHALL maintain an auditable routing decision log for every request, recording the selected provider, provider region, the routing policy applied, and the reason for any request rejection.</w:t>
      </w:r>
    </w:p>
    <w:p>
      <w:pPr>
        <w:pStyle w:val="ListParagraph"/>
        <w:numPr>
          <w:ilvl w:val="0"/>
          <w:numId w:val="3"/>
        </w:numPr>
        <w:spacing w:after="60" w:before="60"/>
      </w:pPr>
      <w:r>
        <w:rPr>
          <w:rFonts w:ascii="Arial" w:cs="Arial" w:eastAsia="Arial" w:hAnsi="Arial"/>
          <w:sz w:val="20"/>
          <w:szCs w:val="20"/>
        </w:rPr>
        <w:t xml:space="preserve">THE Gateway SHALL support self-hosted and on-premises LLM deployments (e.g., Ollama, vLLM) as routing targets, enabling fully sovereign deployments where no data leaves the institution's own infrastructure.</w:t>
      </w:r>
    </w:p>
    <w:p>
      <w:pPr>
        <w:pStyle w:val="ListParagraph"/>
        <w:numPr>
          <w:ilvl w:val="0"/>
          <w:numId w:val="3"/>
        </w:numPr>
        <w:spacing w:after="60" w:before="60"/>
      </w:pPr>
      <w:r>
        <w:rPr>
          <w:rFonts w:ascii="Arial" w:cs="Arial" w:eastAsia="Arial" w:hAnsi="Arial"/>
          <w:sz w:val="20"/>
          <w:szCs w:val="20"/>
        </w:rPr>
        <w:t xml:space="preserve">THE Gateway SHALL verify provider data residency claims against a configurable provider registry that maps each provider endpoint to its legal entity, jurisdiction, and data centre region, and SHALL reject routing to providers whose registry entry has expired or is unverified.</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23: Detection Quality Assurance and Regression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Data Protection Officer, I want published, independently verifiable detection quality metrics for every supported locale and entity type, so that I can include these metrics in our DPIA documentation and hold AnonReq accountable to a measurable standard.</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Detection_Engine SHALL maintain benchmark datasets for every supported locale, containing at minimum 500 labelled examples per entity type per locale, covering true positives, false positives, and edge cases (e.g., checksums that are structurally valid but semantically unlikely).</w:t>
      </w:r>
    </w:p>
    <w:p>
      <w:pPr>
        <w:pStyle w:val="ListParagraph"/>
        <w:numPr>
          <w:ilvl w:val="0"/>
          <w:numId w:val="3"/>
        </w:numPr>
        <w:spacing w:after="60" w:before="60"/>
      </w:pPr>
      <w:r>
        <w:rPr>
          <w:rFonts w:ascii="Arial" w:cs="Arial" w:eastAsia="Arial" w:hAnsi="Arial"/>
          <w:sz w:val="20"/>
          <w:szCs w:val="20"/>
        </w:rPr>
        <w:t xml:space="preserve">THE project SHALL publish detection quality metrics including precision, recall, and F1 score for each entity type and locale, measured against the benchmark datasets.</w:t>
      </w:r>
    </w:p>
    <w:p>
      <w:pPr>
        <w:pStyle w:val="ListParagraph"/>
        <w:numPr>
          <w:ilvl w:val="0"/>
          <w:numId w:val="3"/>
        </w:numPr>
        <w:spacing w:after="60" w:before="60"/>
      </w:pPr>
      <w:r>
        <w:rPr>
          <w:rFonts w:ascii="Arial" w:cs="Arial" w:eastAsia="Arial" w:hAnsi="Arial"/>
          <w:sz w:val="20"/>
          <w:szCs w:val="20"/>
        </w:rPr>
        <w:t xml:space="preserve">THE project SHALL include automated regression tests that fail CI builds when detection quality for any entity type drops below a configurable threshold (default F1 &gt;= 0.90) relative to the current published benchmark.</w:t>
      </w:r>
    </w:p>
    <w:p>
      <w:pPr>
        <w:pStyle w:val="ListParagraph"/>
        <w:numPr>
          <w:ilvl w:val="0"/>
          <w:numId w:val="3"/>
        </w:numPr>
        <w:spacing w:after="60" w:before="60"/>
      </w:pPr>
      <w:r>
        <w:rPr>
          <w:rFonts w:ascii="Arial" w:cs="Arial" w:eastAsia="Arial" w:hAnsi="Arial"/>
          <w:sz w:val="20"/>
          <w:szCs w:val="20"/>
        </w:rPr>
        <w:t xml:space="preserve">WHEN a new locale or entity type is added, detection quality metrics for that locale/entity type SHALL be published before the feature is released.</w:t>
      </w:r>
    </w:p>
    <w:p>
      <w:pPr>
        <w:pStyle w:val="ListParagraph"/>
        <w:numPr>
          <w:ilvl w:val="0"/>
          <w:numId w:val="3"/>
        </w:numPr>
        <w:spacing w:after="60" w:before="60"/>
      </w:pPr>
      <w:r>
        <w:rPr>
          <w:rFonts w:ascii="Arial" w:cs="Arial" w:eastAsia="Arial" w:hAnsi="Arial"/>
          <w:sz w:val="20"/>
          <w:szCs w:val="20"/>
        </w:rPr>
        <w:t xml:space="preserve">THE Detection_Engine SHALL support injection of customer-provided benchmark datasets for validation of custom recogniser performance, returning precision, recall, and F1 score for each custom recogniser via the GET /v1/config/rules endpoint.</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24: Spend Controls and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FinOps manager, I want configurable controls over how much LLM API spend AnonReq routes on behalf of each team or tenant, so that I can prevent runaway costs and ensure fair allocation across business units.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configurable rate limits per tenant for: requests per minute, tokens per minute, and concurrent requests.</w:t>
      </w:r>
    </w:p>
    <w:p>
      <w:pPr>
        <w:pStyle w:val="ListParagraph"/>
        <w:numPr>
          <w:ilvl w:val="0"/>
          <w:numId w:val="3"/>
        </w:numPr>
        <w:spacing w:after="60" w:before="60"/>
      </w:pPr>
      <w:r>
        <w:rPr>
          <w:rFonts w:ascii="Arial" w:cs="Arial" w:eastAsia="Arial" w:hAnsi="Arial"/>
          <w:sz w:val="20"/>
          <w:szCs w:val="20"/>
        </w:rPr>
        <w:t xml:space="preserve">THE Gateway SHALL support spend controls including: daily budget limits (in USD), monthly budget limits (in USD), and provider-specific limits, with configurable alert thresholds at 70% and 90% of each budget.</w:t>
      </w:r>
    </w:p>
    <w:p>
      <w:pPr>
        <w:pStyle w:val="ListParagraph"/>
        <w:numPr>
          <w:ilvl w:val="0"/>
          <w:numId w:val="3"/>
        </w:numPr>
        <w:spacing w:after="60" w:before="60"/>
      </w:pPr>
      <w:r>
        <w:rPr>
          <w:rFonts w:ascii="Arial" w:cs="Arial" w:eastAsia="Arial" w:hAnsi="Arial"/>
          <w:sz w:val="20"/>
          <w:szCs w:val="20"/>
        </w:rPr>
        <w:t xml:space="preserve">WHEN a rate limit or budget limit is exceeded, THE Gateway SHALL return HTTP 429 with a Retry-After header and a structured error body identifying which limit was exceeded.</w:t>
      </w:r>
    </w:p>
    <w:p>
      <w:pPr>
        <w:pStyle w:val="ListParagraph"/>
        <w:numPr>
          <w:ilvl w:val="0"/>
          <w:numId w:val="3"/>
        </w:numPr>
        <w:spacing w:after="60" w:before="60"/>
      </w:pPr>
      <w:r>
        <w:rPr>
          <w:rFonts w:ascii="Arial" w:cs="Arial" w:eastAsia="Arial" w:hAnsi="Arial"/>
          <w:sz w:val="20"/>
          <w:szCs w:val="20"/>
        </w:rPr>
        <w:t xml:space="preserve">THE Gateway SHALL expose per-tenant spend and usage metrics via the GET /metrics endpoint, labelled by tenant and provider.</w:t>
      </w:r>
    </w:p>
    <w:p>
      <w:pPr>
        <w:pStyle w:val="ListParagraph"/>
        <w:numPr>
          <w:ilvl w:val="0"/>
          <w:numId w:val="3"/>
        </w:numPr>
        <w:spacing w:after="60" w:before="60"/>
      </w:pPr>
      <w:r>
        <w:rPr>
          <w:rFonts w:ascii="Arial" w:cs="Arial" w:eastAsia="Arial" w:hAnsi="Arial"/>
          <w:sz w:val="20"/>
          <w:szCs w:val="20"/>
        </w:rPr>
        <w:t xml:space="preserve">THE Gateway SHALL support email and webhook notifications when spend alert thresholds are crossed.</w:t>
      </w:r>
    </w:p>
    <w:p>
      <w:pPr>
        <w:pStyle w:val="ListParagraph"/>
        <w:numPr>
          <w:ilvl w:val="0"/>
          <w:numId w:val="3"/>
        </w:numPr>
        <w:spacing w:after="60" w:before="60"/>
      </w:pPr>
      <w:r>
        <w:rPr>
          <w:rFonts w:ascii="Arial" w:cs="Arial" w:eastAsia="Arial" w:hAnsi="Arial"/>
          <w:sz w:val="20"/>
          <w:szCs w:val="20"/>
        </w:rPr>
        <w:t xml:space="preserve">THE Gateway SHALL support carry-forward policies for unused monthly budgets, configurable per tenant.</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25: Supply Chain Security and SBOM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security engineer responsible for our software supply chain, I want AnonReq to publish a Software Bill of Materials and meet SLSA Build Level 2 requirements, so that I can include it in our vendor security assessment without manual dependency auditing.</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project SHALL ship a CycloneDX-format SBOM for every release, listing all runtime dependencies with: name, version, SPDX licence identifier, and source repository URL.</w:t>
      </w:r>
    </w:p>
    <w:p>
      <w:pPr>
        <w:pStyle w:val="ListParagraph"/>
        <w:numPr>
          <w:ilvl w:val="0"/>
          <w:numId w:val="3"/>
        </w:numPr>
        <w:spacing w:after="60" w:before="60"/>
      </w:pPr>
      <w:r>
        <w:rPr>
          <w:rFonts w:ascii="Arial" w:cs="Arial" w:eastAsia="Arial" w:hAnsi="Arial"/>
          <w:sz w:val="20"/>
          <w:szCs w:val="20"/>
        </w:rPr>
        <w:t xml:space="preserve">THE project SHALL include automated SBOM generation in the CI/CD pipeline, producing an updated SBOM on every release build.</w:t>
      </w:r>
    </w:p>
    <w:p>
      <w:pPr>
        <w:pStyle w:val="ListParagraph"/>
        <w:numPr>
          <w:ilvl w:val="0"/>
          <w:numId w:val="3"/>
        </w:numPr>
        <w:spacing w:after="60" w:before="60"/>
      </w:pPr>
      <w:r>
        <w:rPr>
          <w:rFonts w:ascii="Arial" w:cs="Arial" w:eastAsia="Arial" w:hAnsi="Arial"/>
          <w:sz w:val="20"/>
          <w:szCs w:val="20"/>
        </w:rPr>
        <w:t xml:space="preserve">THE project SHALL publish a SECURITY.md file defining: responsible disclosure contact email, response time targets by severity, and the scope of in-scope security reports.</w:t>
      </w:r>
    </w:p>
    <w:p>
      <w:pPr>
        <w:pStyle w:val="ListParagraph"/>
        <w:numPr>
          <w:ilvl w:val="0"/>
          <w:numId w:val="3"/>
        </w:numPr>
        <w:spacing w:after="60" w:before="60"/>
      </w:pPr>
      <w:r>
        <w:rPr>
          <w:rFonts w:ascii="Arial" w:cs="Arial" w:eastAsia="Arial" w:hAnsi="Arial"/>
          <w:sz w:val="20"/>
          <w:szCs w:val="20"/>
        </w:rPr>
        <w:t xml:space="preserve">THE project SHALL define and publish incident response procedures for security vulnerabilities, including a patch release process targeting critical CVE resolution within 72 hours of confirmed exploit.</w:t>
      </w:r>
    </w:p>
    <w:p>
      <w:pPr>
        <w:pStyle w:val="ListParagraph"/>
        <w:numPr>
          <w:ilvl w:val="0"/>
          <w:numId w:val="3"/>
        </w:numPr>
        <w:spacing w:after="60" w:before="60"/>
      </w:pPr>
      <w:r>
        <w:rPr>
          <w:rFonts w:ascii="Arial" w:cs="Arial" w:eastAsia="Arial" w:hAnsi="Arial"/>
          <w:sz w:val="20"/>
          <w:szCs w:val="20"/>
        </w:rPr>
        <w:t xml:space="preserve">THE project SHALL perform automated dependency vulnerability scanning on every commit and SHALL block releases that include dependencies with CVSS score &gt;= 9.0 (Critical) without documented risk acceptance.</w:t>
      </w:r>
    </w:p>
    <w:p>
      <w:pPr>
        <w:pStyle w:val="ListParagraph"/>
        <w:numPr>
          <w:ilvl w:val="0"/>
          <w:numId w:val="3"/>
        </w:numPr>
        <w:spacing w:after="60" w:before="60"/>
      </w:pPr>
      <w:r>
        <w:rPr>
          <w:rFonts w:ascii="Arial" w:cs="Arial" w:eastAsia="Arial" w:hAnsi="Arial"/>
          <w:sz w:val="20"/>
          <w:szCs w:val="20"/>
        </w:rPr>
        <w:t xml:space="preserve">THE project SHALL meet SLSA Build Level 2 requirements: use of a version-controlled build script, build provenance metadata published alongside each release artefact.</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26: Administrative Change History and Configuration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compliance officer, I want a complete, tamper-evident history of every change to AnonReq's configuration, so that I can demonstrate to regulators that our detection rules, compliance presets, and provider configurations have been managed under formal change control.</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maintain a complete administrative change history for: compliance presets, custom recognisers, exclusion lists, and provider configurations.</w:t>
      </w:r>
    </w:p>
    <w:p>
      <w:pPr>
        <w:pStyle w:val="ListParagraph"/>
        <w:numPr>
          <w:ilvl w:val="0"/>
          <w:numId w:val="3"/>
        </w:numPr>
        <w:spacing w:after="60" w:before="60"/>
      </w:pPr>
      <w:r>
        <w:rPr>
          <w:rFonts w:ascii="Arial" w:cs="Arial" w:eastAsia="Arial" w:hAnsi="Arial"/>
          <w:sz w:val="20"/>
          <w:szCs w:val="20"/>
        </w:rPr>
        <w:t xml:space="preserve">EACH change history entry SHALL record: timestamp, Tenant_ID, actor identity (user or service account), the specific field or file changed, the previous value (redacted if sensitive), the new value (redacted if sensitive), and an approval record if the change required approval.</w:t>
      </w:r>
    </w:p>
    <w:p>
      <w:pPr>
        <w:pStyle w:val="ListParagraph"/>
        <w:numPr>
          <w:ilvl w:val="0"/>
          <w:numId w:val="3"/>
        </w:numPr>
        <w:spacing w:after="60" w:before="60"/>
      </w:pPr>
      <w:r>
        <w:rPr>
          <w:rFonts w:ascii="Arial" w:cs="Arial" w:eastAsia="Arial" w:hAnsi="Arial"/>
          <w:sz w:val="20"/>
          <w:szCs w:val="20"/>
        </w:rPr>
        <w:t xml:space="preserve">Change history records SHALL be immutable: once written, they SHALL NOT be modifiable or deletable via any Gateway API or administrative interface.</w:t>
      </w:r>
    </w:p>
    <w:p>
      <w:pPr>
        <w:pStyle w:val="ListParagraph"/>
        <w:numPr>
          <w:ilvl w:val="0"/>
          <w:numId w:val="3"/>
        </w:numPr>
        <w:spacing w:after="60" w:before="60"/>
      </w:pPr>
      <w:r>
        <w:rPr>
          <w:rFonts w:ascii="Arial" w:cs="Arial" w:eastAsia="Arial" w:hAnsi="Arial"/>
          <w:sz w:val="20"/>
          <w:szCs w:val="20"/>
        </w:rPr>
        <w:t xml:space="preserve">THE Gateway SHALL support export of change history records in JSON and CSV format via an authenticated API endpoint, enabling integration with external audit management systems.</w:t>
      </w:r>
    </w:p>
    <w:p>
      <w:pPr>
        <w:pStyle w:val="ListParagraph"/>
        <w:numPr>
          <w:ilvl w:val="0"/>
          <w:numId w:val="3"/>
        </w:numPr>
        <w:spacing w:after="60" w:before="60"/>
      </w:pPr>
      <w:r>
        <w:rPr>
          <w:rFonts w:ascii="Arial" w:cs="Arial" w:eastAsia="Arial" w:hAnsi="Arial"/>
          <w:sz w:val="20"/>
          <w:szCs w:val="20"/>
        </w:rPr>
        <w:t xml:space="preserve">THE Gateway SHALL support configurable approval workflows for high-impact configuration changes (e.g., disabling a mandatory compliance entity type), requiring a second named administrator to approve the change before it takes effect.</w:t>
      </w:r>
    </w:p>
    <w:p>
      <w:pPr>
        <w:pStyle w:val="ListParagraph"/>
        <w:numPr>
          <w:ilvl w:val="0"/>
          <w:numId w:val="3"/>
        </w:numPr>
        <w:spacing w:after="60" w:before="60"/>
      </w:pPr>
      <w:r>
        <w:rPr>
          <w:rFonts w:ascii="Arial" w:cs="Arial" w:eastAsia="Arial" w:hAnsi="Arial"/>
          <w:sz w:val="20"/>
          <w:szCs w:val="20"/>
        </w:rPr>
        <w:t xml:space="preserve">THE Gateway SHALL send a structured notification (email or webhook) to the tenant administrator whenever a configuration change is applied.</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27: AI Governance and Accountability Framework (ISO 42001)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board member, I want clear accountability for AI systems so that governance responsibilities are assigned, measurable, and auditable in accordance with ISO/IEC 42001.</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organisation operating THE Gateway SHALL assign named owners for: AI governance, AI risk management, AI compliance, and AI security. These assignments SHALL be recorded in THE Gateway's governance register.</w:t>
      </w:r>
    </w:p>
    <w:p>
      <w:pPr>
        <w:pStyle w:val="ListParagraph"/>
        <w:numPr>
          <w:ilvl w:val="0"/>
          <w:numId w:val="3"/>
        </w:numPr>
        <w:spacing w:after="60" w:before="60"/>
      </w:pPr>
      <w:r>
        <w:rPr>
          <w:rFonts w:ascii="Arial" w:cs="Arial" w:eastAsia="Arial" w:hAnsi="Arial"/>
          <w:sz w:val="20"/>
          <w:szCs w:val="20"/>
        </w:rPr>
        <w:t xml:space="preserve">THE Gateway SHALL support recording governance approvals for: production deployments, policy changes, and compliance configuration changes, with each approval record capturing: approver identity, timestamp, and rationale.</w:t>
      </w:r>
    </w:p>
    <w:p>
      <w:pPr>
        <w:pStyle w:val="ListParagraph"/>
        <w:numPr>
          <w:ilvl w:val="0"/>
          <w:numId w:val="3"/>
        </w:numPr>
        <w:spacing w:after="60" w:before="60"/>
      </w:pPr>
      <w:r>
        <w:rPr>
          <w:rFonts w:ascii="Arial" w:cs="Arial" w:eastAsia="Arial" w:hAnsi="Arial"/>
          <w:sz w:val="20"/>
          <w:szCs w:val="20"/>
        </w:rPr>
        <w:t xml:space="preserve">THE Gateway SHALL maintain a governance decision register linking each recorded decision to its supporting evidence and the approval record.</w:t>
      </w:r>
    </w:p>
    <w:p>
      <w:pPr>
        <w:pStyle w:val="ListParagraph"/>
        <w:numPr>
          <w:ilvl w:val="0"/>
          <w:numId w:val="3"/>
        </w:numPr>
        <w:spacing w:after="60" w:before="60"/>
      </w:pPr>
      <w:r>
        <w:rPr>
          <w:rFonts w:ascii="Arial" w:cs="Arial" w:eastAsia="Arial" w:hAnsi="Arial"/>
          <w:sz w:val="20"/>
          <w:szCs w:val="20"/>
        </w:rPr>
        <w:t xml:space="preserve">THE Gateway SHALL support periodic governance reviews at configurable intervals (default: quarterly), generating a review summary report for each governance domain.</w:t>
      </w:r>
    </w:p>
    <w:p>
      <w:pPr>
        <w:pStyle w:val="ListParagraph"/>
        <w:numPr>
          <w:ilvl w:val="0"/>
          <w:numId w:val="3"/>
        </w:numPr>
        <w:spacing w:after="60" w:before="60"/>
      </w:pPr>
      <w:r>
        <w:rPr>
          <w:rFonts w:ascii="Arial" w:cs="Arial" w:eastAsia="Arial" w:hAnsi="Arial"/>
          <w:sz w:val="20"/>
          <w:szCs w:val="20"/>
        </w:rPr>
        <w:t xml:space="preserve">THE Gateway SHALL provide evidence export packages suitable for ISO/IEC 42001 audits, containing: governance owner assignments, decision register, approval records, and review summaries.</w:t>
      </w:r>
    </w:p>
    <w:p>
      <w:pPr>
        <w:pStyle w:val="ListParagraph"/>
        <w:numPr>
          <w:ilvl w:val="0"/>
          <w:numId w:val="3"/>
        </w:numPr>
        <w:spacing w:after="60" w:before="60"/>
      </w:pPr>
      <w:r>
        <w:rPr>
          <w:rFonts w:ascii="Arial" w:cs="Arial" w:eastAsia="Arial" w:hAnsi="Arial"/>
          <w:sz w:val="20"/>
          <w:szCs w:val="20"/>
        </w:rPr>
        <w:t xml:space="preserve">ALL governance records SHALL be retained according to configured retention policies (see Requirement 45) and SHALL be protected from modification.</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28: AI Risk and Impact Assessment Management (ISO 42001 +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compliance officer, I want every AI use case assessed for risks and impacts before deployment, and I want those assessments versioned and auditable throughout the product lifecycle.</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creation and storage of AI risk assessments before production deployment of any new provider integration or compliance configuration. Each assessment SHALL evaluate: privacy risk, security risk, bias risk, explainability risk, misuse risk, and regulatory risk, each scored on a severity-by-likelihood matrix.</w:t>
      </w:r>
    </w:p>
    <w:p>
      <w:pPr>
        <w:pStyle w:val="ListParagraph"/>
        <w:numPr>
          <w:ilvl w:val="0"/>
          <w:numId w:val="3"/>
        </w:numPr>
        <w:spacing w:after="60" w:before="60"/>
      </w:pPr>
      <w:r>
        <w:rPr>
          <w:rFonts w:ascii="Arial" w:cs="Arial" w:eastAsia="Arial" w:hAnsi="Arial"/>
          <w:sz w:val="20"/>
          <w:szCs w:val="20"/>
        </w:rPr>
        <w:t xml:space="preserve">THE Gateway SHALL support impact assessments covering effects on: individuals, customers, employees, and fundamental rights, with documented mitigation measures for each identified impact.</w:t>
      </w:r>
    </w:p>
    <w:p>
      <w:pPr>
        <w:pStyle w:val="ListParagraph"/>
        <w:numPr>
          <w:ilvl w:val="0"/>
          <w:numId w:val="3"/>
        </w:numPr>
        <w:spacing w:after="60" w:before="60"/>
      </w:pPr>
      <w:r>
        <w:rPr>
          <w:rFonts w:ascii="Arial" w:cs="Arial" w:eastAsia="Arial" w:hAnsi="Arial"/>
          <w:sz w:val="20"/>
          <w:szCs w:val="20"/>
        </w:rPr>
        <w:t xml:space="preserve">THE Gateway SHALL require approval by a designated risk owner before deploying high-risk configurations (defined as configurations that disable a mandatory entity type, add a new jurisdiction, or enable a new AI provider).</w:t>
      </w:r>
    </w:p>
    <w:p>
      <w:pPr>
        <w:pStyle w:val="ListParagraph"/>
        <w:numPr>
          <w:ilvl w:val="0"/>
          <w:numId w:val="3"/>
        </w:numPr>
        <w:spacing w:after="60" w:before="60"/>
      </w:pPr>
      <w:r>
        <w:rPr>
          <w:rFonts w:ascii="Arial" w:cs="Arial" w:eastAsia="Arial" w:hAnsi="Arial"/>
          <w:sz w:val="20"/>
          <w:szCs w:val="20"/>
        </w:rPr>
        <w:t xml:space="preserve">Risk assessments SHALL be versioned and auditable: each version SHALL record the assessor identity, assessment date, risk scores, mitigation measures, and approval status.</w:t>
      </w:r>
    </w:p>
    <w:p>
      <w:pPr>
        <w:pStyle w:val="ListParagraph"/>
        <w:numPr>
          <w:ilvl w:val="0"/>
          <w:numId w:val="3"/>
        </w:numPr>
        <w:spacing w:after="60" w:before="60"/>
      </w:pPr>
      <w:r>
        <w:rPr>
          <w:rFonts w:ascii="Arial" w:cs="Arial" w:eastAsia="Arial" w:hAnsi="Arial"/>
          <w:sz w:val="20"/>
          <w:szCs w:val="20"/>
        </w:rPr>
        <w:t xml:space="preserve">THE Gateway SHALL trigger an automated reassessment notification when significant changes occur (new provider added, compliance preset modified, detection quality drops below threshold).</w:t>
      </w:r>
    </w:p>
    <w:p>
      <w:pPr>
        <w:pStyle w:val="ListParagraph"/>
        <w:numPr>
          <w:ilvl w:val="0"/>
          <w:numId w:val="3"/>
        </w:numPr>
        <w:spacing w:after="60" w:before="60"/>
      </w:pPr>
      <w:r>
        <w:rPr>
          <w:rFonts w:ascii="Arial" w:cs="Arial" w:eastAsia="Arial" w:hAnsi="Arial"/>
          <w:sz w:val="20"/>
          <w:szCs w:val="20"/>
        </w:rPr>
        <w:t xml:space="preserve">Risk treatment plans SHALL be linked to identified risks in the risk register, with each treatment plan recording the selected treatment strategy (accept, mitigate, transfer, avoid) and the responsible owner.</w:t>
      </w:r>
    </w:p>
    <w:p>
      <w:pPr>
        <w:pStyle w:val="ListParagraph"/>
        <w:numPr>
          <w:ilvl w:val="0"/>
          <w:numId w:val="3"/>
        </w:numPr>
        <w:spacing w:after="60" w:before="60"/>
      </w:pPr>
      <w:r>
        <w:rPr>
          <w:rFonts w:ascii="Arial" w:cs="Arial" w:eastAsia="Arial" w:hAnsi="Arial"/>
          <w:sz w:val="20"/>
          <w:szCs w:val="20"/>
        </w:rPr>
        <w:t xml:space="preserve">THE Gateway SHALL provide a risk register export in JSON and CSV format, suitable for import into enterprise GRC platforms.</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29: Human Oversight and Intervention Controls (EU AI Act Article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deployer operating under the EU AI Act, I want humans able to supervise, intervene in, and override AI decisions made by systems routed through AnonReq, so that the organisation can demonstrate meaningful human oversight to regulators.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human review workflows in which flagged requests (those matching high-risk detection patterns or exceeding configurable risk scores) are queued for human review before being forwarded to the external provider.</w:t>
      </w:r>
    </w:p>
    <w:p>
      <w:pPr>
        <w:pStyle w:val="ListParagraph"/>
        <w:numPr>
          <w:ilvl w:val="0"/>
          <w:numId w:val="3"/>
        </w:numPr>
        <w:spacing w:after="60" w:before="60"/>
      </w:pPr>
      <w:r>
        <w:rPr>
          <w:rFonts w:ascii="Arial" w:cs="Arial" w:eastAsia="Arial" w:hAnsi="Arial"/>
          <w:sz w:val="20"/>
          <w:szCs w:val="20"/>
        </w:rPr>
        <w:t xml:space="preserve">THE Gateway SHALL support approval gates before execution of actions classified as high-impact by tenant policy, requiring a named human reviewer to approve or reject the request within a configurable timeout (default: 60 seconds), after which the Gateway SHALL fail secure and return HTTP 503.</w:t>
      </w:r>
    </w:p>
    <w:p>
      <w:pPr>
        <w:pStyle w:val="ListParagraph"/>
        <w:numPr>
          <w:ilvl w:val="0"/>
          <w:numId w:val="3"/>
        </w:numPr>
        <w:spacing w:after="60" w:before="60"/>
      </w:pPr>
      <w:r>
        <w:rPr>
          <w:rFonts w:ascii="Arial" w:cs="Arial" w:eastAsia="Arial" w:hAnsi="Arial"/>
          <w:sz w:val="20"/>
          <w:szCs w:val="20"/>
        </w:rPr>
        <w:t xml:space="preserve">THE Gateway SHALL support emergency intervention mechanisms: a named security_officer SHALL be able to issue a kill switch command via authenticated API that immediately halts all outbound LLM traffic for a tenant or the entire Gateway, taking effect within 5 seconds of the command being accepted.</w:t>
      </w:r>
    </w:p>
    <w:p>
      <w:pPr>
        <w:pStyle w:val="ListParagraph"/>
        <w:numPr>
          <w:ilvl w:val="0"/>
          <w:numId w:val="3"/>
        </w:numPr>
        <w:spacing w:after="60" w:before="60"/>
      </w:pPr>
      <w:r>
        <w:rPr>
          <w:rFonts w:ascii="Arial" w:cs="Arial" w:eastAsia="Arial" w:hAnsi="Arial"/>
          <w:sz w:val="20"/>
          <w:szCs w:val="20"/>
        </w:rPr>
        <w:t xml:space="preserve">THE Gateway SHALL support manual override of automated anonymisation decisions: a named administrator SHALL be able to approve a specific request for forwarding without anonymisation, with the override recorded in the audit log including approver identity, timestamp, and rationale.</w:t>
      </w:r>
    </w:p>
    <w:p>
      <w:pPr>
        <w:pStyle w:val="ListParagraph"/>
        <w:numPr>
          <w:ilvl w:val="0"/>
          <w:numId w:val="3"/>
        </w:numPr>
        <w:spacing w:after="60" w:before="60"/>
      </w:pPr>
      <w:r>
        <w:rPr>
          <w:rFonts w:ascii="Arial" w:cs="Arial" w:eastAsia="Arial" w:hAnsi="Arial"/>
          <w:sz w:val="20"/>
          <w:szCs w:val="20"/>
        </w:rPr>
        <w:t xml:space="preserve">THE Gateway SHALL record all override and intervention actions in the audit log.</w:t>
      </w:r>
    </w:p>
    <w:p>
      <w:pPr>
        <w:pStyle w:val="ListParagraph"/>
        <w:numPr>
          <w:ilvl w:val="0"/>
          <w:numId w:val="3"/>
        </w:numPr>
        <w:spacing w:after="60" w:before="60"/>
      </w:pPr>
      <w:r>
        <w:rPr>
          <w:rFonts w:ascii="Arial" w:cs="Arial" w:eastAsia="Arial" w:hAnsi="Arial"/>
          <w:sz w:val="20"/>
          <w:szCs w:val="20"/>
        </w:rPr>
        <w:t xml:space="preserve">THE Gateway SHALL provide operator visibility dashboards showing: requests pending human review, recent anonymisation decisions, recent policy enforcement actions, and blocked requests, with drill-down to the anonymisation metadata (not the raw content) for each event.</w:t>
      </w:r>
    </w:p>
    <w:p>
      <w:pPr>
        <w:pStyle w:val="ListParagraph"/>
        <w:numPr>
          <w:ilvl w:val="0"/>
          <w:numId w:val="3"/>
        </w:numPr>
        <w:spacing w:after="60" w:before="60"/>
      </w:pPr>
      <w:r>
        <w:rPr>
          <w:rFonts w:ascii="Arial" w:cs="Arial" w:eastAsia="Arial" w:hAnsi="Arial"/>
          <w:sz w:val="20"/>
          <w:szCs w:val="20"/>
        </w:rPr>
        <w:t xml:space="preserve">THE Gateway SHALL support configurable escalation workflows: WHEN a human review request is not acted upon within a configurable period, THE Gateway SHALL escalate the notification to a secondary reviewer and log the escalation event.</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30: Financial Services Regulatory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compliance officer at a regulated financial institution, I want AnonReq aligned with financial-sector regulatory obligations so that deployment can be approved by internal risk and compliance teams without requiring bespoke compliance analysis.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provide compliance mapping documentation for: DORA (EU 2022/2554), NIS2 (EU 2022/2555), GDPR (EU 2016/679), ISO 27001:2022, ISO 42001:2023, EBA ICT and Security Risk Guidelines (EBA/GL/2019/04), FCA Operational Resilience Framework (SS1/21), BaFin BAIT/VAIT, SEC Cybersecurity Rules (17 CFR 229/249), FINRA Cybersecurity Guidelines, Finansinspektionen (FI) AI and Model Risk Expectations, and MAS Technology Risk Management Guidelines.</w:t>
      </w:r>
    </w:p>
    <w:p>
      <w:pPr>
        <w:pStyle w:val="ListParagraph"/>
        <w:numPr>
          <w:ilvl w:val="0"/>
          <w:numId w:val="3"/>
        </w:numPr>
        <w:spacing w:after="60" w:before="60"/>
      </w:pPr>
      <w:r>
        <w:rPr>
          <w:rFonts w:ascii="Arial" w:cs="Arial" w:eastAsia="Arial" w:hAnsi="Arial"/>
          <w:sz w:val="20"/>
          <w:szCs w:val="20"/>
        </w:rPr>
        <w:t xml:space="preserve">THE Gateway SHALL maintain evidence linking each implemented control to the specific regulatory requirement(s) it addresses, in a traceability matrix exportable in Excel and JSON formats.</w:t>
      </w:r>
    </w:p>
    <w:p>
      <w:pPr>
        <w:pStyle w:val="ListParagraph"/>
        <w:numPr>
          <w:ilvl w:val="0"/>
          <w:numId w:val="3"/>
        </w:numPr>
        <w:spacing w:after="60" w:before="60"/>
      </w:pPr>
      <w:r>
        <w:rPr>
          <w:rFonts w:ascii="Arial" w:cs="Arial" w:eastAsia="Arial" w:hAnsi="Arial"/>
          <w:sz w:val="20"/>
          <w:szCs w:val="20"/>
        </w:rPr>
        <w:t xml:space="preserve">THE Gateway SHALL support generation of regulator-ready compliance reports in PDF format, including: control descriptions, evidence references, test results, and identified gaps.</w:t>
      </w:r>
    </w:p>
    <w:p>
      <w:pPr>
        <w:pStyle w:val="ListParagraph"/>
        <w:numPr>
          <w:ilvl w:val="0"/>
          <w:numId w:val="3"/>
        </w:numPr>
        <w:spacing w:after="60" w:before="60"/>
      </w:pPr>
      <w:r>
        <w:rPr>
          <w:rFonts w:ascii="Arial" w:cs="Arial" w:eastAsia="Arial" w:hAnsi="Arial"/>
          <w:sz w:val="20"/>
          <w:szCs w:val="20"/>
        </w:rPr>
        <w:t xml:space="preserve">THE Gateway SHALL support export of compliance evidence packages containing: audit logs, configuration history, risk assessments, test results, and governance records, in a structured format suitable for submission to national supervisory authorities.</w:t>
      </w:r>
    </w:p>
    <w:p>
      <w:pPr>
        <w:pStyle w:val="ListParagraph"/>
        <w:numPr>
          <w:ilvl w:val="0"/>
          <w:numId w:val="3"/>
        </w:numPr>
        <w:spacing w:after="60" w:before="60"/>
      </w:pPr>
      <w:r>
        <w:rPr>
          <w:rFonts w:ascii="Arial" w:cs="Arial" w:eastAsia="Arial" w:hAnsi="Arial"/>
          <w:sz w:val="20"/>
          <w:szCs w:val="20"/>
        </w:rPr>
        <w:t xml:space="preserve">THE Gateway SHALL maintain version history of regulatory mappings, recording the date on which each mapping was last reviewed and the identity of the reviewer.</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31: Nordic Market Support — Finansinspektionen (FI)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compliance officer at a Swedish or Nordic asset manager, pension fund, or bank, I want AnonReq to support the specific regulatory expectations of Finansinspektionen and Nordic data protection authorities, so that deployment can be approved without additional compliance work for this market.</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provide a fi-se compliance preset that enforces the entity types and detection thresholds required by Finansinspektionen's AI and model risk expectations and the Swedish Authority for Privacy Protection (IMY) guidance on GDPR compliance in AI systems.</w:t>
      </w:r>
    </w:p>
    <w:p>
      <w:pPr>
        <w:pStyle w:val="ListParagraph"/>
        <w:numPr>
          <w:ilvl w:val="0"/>
          <w:numId w:val="3"/>
        </w:numPr>
        <w:spacing w:after="60" w:before="60"/>
      </w:pPr>
      <w:r>
        <w:rPr>
          <w:rFonts w:ascii="Arial" w:cs="Arial" w:eastAsia="Arial" w:hAnsi="Arial"/>
          <w:sz w:val="20"/>
          <w:szCs w:val="20"/>
        </w:rPr>
        <w:t xml:space="preserve">THE fi-se preset SHALL include locale-specific recognisers for Swedish national identifiers: Swedish personnummer (YYMMDD-NNNN, modulo-10 Luhn validated), Swedish organisationsnummer (10-digit, validated), and Swedish bankgiro/plusgiro account numbers.</w:t>
      </w:r>
    </w:p>
    <w:p>
      <w:pPr>
        <w:pStyle w:val="ListParagraph"/>
        <w:numPr>
          <w:ilvl w:val="0"/>
          <w:numId w:val="3"/>
        </w:numPr>
        <w:spacing w:after="60" w:before="60"/>
      </w:pPr>
      <w:r>
        <w:rPr>
          <w:rFonts w:ascii="Arial" w:cs="Arial" w:eastAsia="Arial" w:hAnsi="Arial"/>
          <w:sz w:val="20"/>
          <w:szCs w:val="20"/>
        </w:rPr>
        <w:t xml:space="preserve">THE Gateway SHALL support Swedish-language NER for the following entity types: person name, organisation name, street address, and city/municipality name, using a Swedish-language NER model with F1 &gt;= 0.88 on the Swedish SUC 3.0 benchmark corpus.</w:t>
      </w:r>
    </w:p>
    <w:p>
      <w:pPr>
        <w:pStyle w:val="ListParagraph"/>
        <w:numPr>
          <w:ilvl w:val="0"/>
          <w:numId w:val="3"/>
        </w:numPr>
        <w:spacing w:after="60" w:before="60"/>
      </w:pPr>
      <w:r>
        <w:rPr>
          <w:rFonts w:ascii="Arial" w:cs="Arial" w:eastAsia="Arial" w:hAnsi="Arial"/>
          <w:sz w:val="20"/>
          <w:szCs w:val="20"/>
        </w:rPr>
        <w:t xml:space="preserve">THE Audit_Logger SHALL support export of audit records in a format compatible with IMY investigation requests, including: processing purpose, data categories, recipient details, and retention periods, as required by GDPR Article 30 Records of Processing Activities.</w:t>
      </w:r>
    </w:p>
    <w:p>
      <w:pPr>
        <w:pStyle w:val="ListParagraph"/>
        <w:numPr>
          <w:ilvl w:val="0"/>
          <w:numId w:val="3"/>
        </w:numPr>
        <w:spacing w:after="60" w:before="60"/>
      </w:pPr>
      <w:r>
        <w:rPr>
          <w:rFonts w:ascii="Arial" w:cs="Arial" w:eastAsia="Arial" w:hAnsi="Arial"/>
          <w:sz w:val="20"/>
          <w:szCs w:val="20"/>
        </w:rPr>
        <w:t xml:space="preserve">THE Gateway's documentation SHALL include a section titled 'Finansinspektionen and IMY Compliance Guide' describing: how the fi-se preset maps to FI's model risk and AI expectations, how the Gateway supports the data minimisation principle under GDPR Article 5(1)(c) for AI use cases, and how audit logs can be produced for IMY investigations.</w:t>
      </w:r>
    </w:p>
    <w:p>
      <w:pPr>
        <w:pStyle w:val="ListParagraph"/>
        <w:numPr>
          <w:ilvl w:val="0"/>
          <w:numId w:val="3"/>
        </w:numPr>
        <w:spacing w:after="60" w:before="60"/>
      </w:pPr>
      <w:r>
        <w:rPr>
          <w:rFonts w:ascii="Arial" w:cs="Arial" w:eastAsia="Arial" w:hAnsi="Arial"/>
          <w:sz w:val="20"/>
          <w:szCs w:val="20"/>
        </w:rPr>
        <w:t xml:space="preserve">THE Gateway SHALL provide Swedish-language documentation for the integration quickstart guide and the 'Why AnonReq' section, in addition to the languages specified in Requirement 15.</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32: Material Non-Public Information (MNPI)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hedge fund or asset manager, I want protection against disclosure of Material Non-Public Information so that sensitive trading information cannot leak through AI systems and trigger insider dealing or market abuse liability.</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Detection_Engine SHALL support identification of MNPI-related entity types including: equity ticker symbols (per configured exchange lists), deal codenames and project identifiers (via custom recogniser configuration), transaction identifiers, acquisition target names (via custom recogniser), and internal investment codes matching configurable patterns.</w:t>
      </w:r>
    </w:p>
    <w:p>
      <w:pPr>
        <w:pStyle w:val="ListParagraph"/>
        <w:numPr>
          <w:ilvl w:val="0"/>
          <w:numId w:val="3"/>
        </w:numPr>
        <w:spacing w:after="60" w:before="60"/>
      </w:pPr>
      <w:r>
        <w:rPr>
          <w:rFonts w:ascii="Arial" w:cs="Arial" w:eastAsia="Arial" w:hAnsi="Arial"/>
          <w:sz w:val="20"/>
          <w:szCs w:val="20"/>
        </w:rPr>
        <w:t xml:space="preserve">THE Gateway SHALL support custom MNPI detection rules defined in the custom recogniser YAML configuration, with an entity_type value of MNPI that triggers dedicated handling policy.</w:t>
      </w:r>
    </w:p>
    <w:p>
      <w:pPr>
        <w:pStyle w:val="ListParagraph"/>
        <w:numPr>
          <w:ilvl w:val="0"/>
          <w:numId w:val="3"/>
        </w:numPr>
        <w:spacing w:after="60" w:before="60"/>
      </w:pPr>
      <w:r>
        <w:rPr>
          <w:rFonts w:ascii="Arial" w:cs="Arial" w:eastAsia="Arial" w:hAnsi="Arial"/>
          <w:sz w:val="20"/>
          <w:szCs w:val="20"/>
        </w:rPr>
        <w:t xml:space="preserve">WHEN MNPI is detected, THE Gateway SHALL: anonymise the information using the standard tokenisation pipeline, classify the event as MNPI in the audit log, record a structured MNPI audit entry containing: Session_ID, Tenant_ID, entity count, entity types detected (not values), timestamp, and the handling policy applied.</w:t>
      </w:r>
    </w:p>
    <w:p>
      <w:pPr>
        <w:pStyle w:val="ListParagraph"/>
        <w:numPr>
          <w:ilvl w:val="0"/>
          <w:numId w:val="3"/>
        </w:numPr>
        <w:spacing w:after="60" w:before="60"/>
      </w:pPr>
      <w:r>
        <w:rPr>
          <w:rFonts w:ascii="Arial" w:cs="Arial" w:eastAsia="Arial" w:hAnsi="Arial"/>
          <w:sz w:val="20"/>
          <w:szCs w:val="20"/>
        </w:rPr>
        <w:t xml:space="preserve">THE Gateway SHALL support configurable MNPI policies that define, per tenant: whether to anonymise and forward, hold for human review, or block requests containing MNPI.</w:t>
      </w:r>
    </w:p>
    <w:p>
      <w:pPr>
        <w:pStyle w:val="ListParagraph"/>
        <w:numPr>
          <w:ilvl w:val="0"/>
          <w:numId w:val="3"/>
        </w:numPr>
        <w:spacing w:after="60" w:before="60"/>
      </w:pPr>
      <w:r>
        <w:rPr>
          <w:rFonts w:ascii="Arial" w:cs="Arial" w:eastAsia="Arial" w:hAnsi="Arial"/>
          <w:sz w:val="20"/>
          <w:szCs w:val="20"/>
        </w:rPr>
        <w:t xml:space="preserve">THE Gateway SHALL support separate handling policies for data classified as: Public, Confidential, Restricted, or MNPI, with policies configurable per tenant and per business unit (see Requirement 46).</w:t>
      </w:r>
    </w:p>
    <w:p>
      <w:pPr>
        <w:pStyle w:val="ListParagraph"/>
        <w:numPr>
          <w:ilvl w:val="0"/>
          <w:numId w:val="3"/>
        </w:numPr>
        <w:spacing w:after="60" w:before="60"/>
      </w:pPr>
      <w:r>
        <w:rPr>
          <w:rFonts w:ascii="Arial" w:cs="Arial" w:eastAsia="Arial" w:hAnsi="Arial"/>
          <w:sz w:val="20"/>
          <w:szCs w:val="20"/>
        </w:rPr>
        <w:t xml:space="preserve">THE Gateway SHALL support regulatory review of MNPI events via an authenticated API endpoint that returns MNPI audit entries filtered by date range, entity type, and business unit.</w:t>
      </w:r>
    </w:p>
    <w:p>
      <w:pPr>
        <w:pStyle w:val="ListParagraph"/>
        <w:numPr>
          <w:ilvl w:val="0"/>
          <w:numId w:val="3"/>
        </w:numPr>
        <w:spacing w:after="60" w:before="60"/>
      </w:pPr>
      <w:r>
        <w:rPr>
          <w:rFonts w:ascii="Arial" w:cs="Arial" w:eastAsia="Arial" w:hAnsi="Arial"/>
          <w:sz w:val="20"/>
          <w:szCs w:val="20"/>
        </w:rPr>
        <w:t xml:space="preserve">MNPI audit entries SHALL be retained for a minimum of 7 years in accordance with market abuse regulation record-keeping requirements.</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33: Model Risk Management (MRM)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Model Risk Officer at a financial institution subject to SR 11-7 or EBA Model Risk Management Guidelines, I want AI systems accessed through AnonReq governed under our existing model risk framework, so that AI model usage is subject to the same validation and approval controls as quantitative models.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maintain an inventory of approved AI models, where 'model' refers to the combination of provider, model name, and version (e.g., openai/gpt-4o/2024-11-20).</w:t>
      </w:r>
    </w:p>
    <w:p>
      <w:pPr>
        <w:pStyle w:val="ListParagraph"/>
        <w:numPr>
          <w:ilvl w:val="0"/>
          <w:numId w:val="3"/>
        </w:numPr>
        <w:spacing w:after="60" w:before="60"/>
      </w:pPr>
      <w:r>
        <w:rPr>
          <w:rFonts w:ascii="Arial" w:cs="Arial" w:eastAsia="Arial" w:hAnsi="Arial"/>
          <w:sz w:val="20"/>
          <w:szCs w:val="20"/>
        </w:rPr>
        <w:t xml:space="preserve">EACH model inventory entry SHALL record: owner (business unit), business purpose, risk classification (Low / Medium / High / Very High), approval status (Pending / Approved / Suspended / Retired), approval date, next scheduled review date, and the name of the approving Model Risk Officer.</w:t>
      </w:r>
    </w:p>
    <w:p>
      <w:pPr>
        <w:pStyle w:val="ListParagraph"/>
        <w:numPr>
          <w:ilvl w:val="0"/>
          <w:numId w:val="3"/>
        </w:numPr>
        <w:spacing w:after="60" w:before="60"/>
      </w:pPr>
      <w:r>
        <w:rPr>
          <w:rFonts w:ascii="Arial" w:cs="Arial" w:eastAsia="Arial" w:hAnsi="Arial"/>
          <w:sz w:val="20"/>
          <w:szCs w:val="20"/>
        </w:rPr>
        <w:t xml:space="preserve">THE Gateway SHALL enforce that only models with approval status 'Approved' can be routed to by tenant requests. Requests specifying a model with status Pending, Suspended, or Retired SHALL be rejected with HTTP 403 and a structured error identifying the model's approval status.</w:t>
      </w:r>
    </w:p>
    <w:p>
      <w:pPr>
        <w:pStyle w:val="ListParagraph"/>
        <w:numPr>
          <w:ilvl w:val="0"/>
          <w:numId w:val="3"/>
        </w:numPr>
        <w:spacing w:after="60" w:before="60"/>
      </w:pPr>
      <w:r>
        <w:rPr>
          <w:rFonts w:ascii="Arial" w:cs="Arial" w:eastAsia="Arial" w:hAnsi="Arial"/>
          <w:sz w:val="20"/>
          <w:szCs w:val="20"/>
        </w:rPr>
        <w:t xml:space="preserve">THE Gateway SHALL support model validation workflows in which the Model Risk Officer can record validation test results (including out-of-sample performance metrics, sensitivity analysis, and limitation documentation) against a model inventory entry.</w:t>
      </w:r>
    </w:p>
    <w:p>
      <w:pPr>
        <w:pStyle w:val="ListParagraph"/>
        <w:numPr>
          <w:ilvl w:val="0"/>
          <w:numId w:val="3"/>
        </w:numPr>
        <w:spacing w:after="60" w:before="60"/>
      </w:pPr>
      <w:r>
        <w:rPr>
          <w:rFonts w:ascii="Arial" w:cs="Arial" w:eastAsia="Arial" w:hAnsi="Arial"/>
          <w:sz w:val="20"/>
          <w:szCs w:val="20"/>
        </w:rPr>
        <w:t xml:space="preserve">THE Gateway SHALL support periodic model reviews at configurable intervals (default: annual), generating automated review-due notifications to the model owner 30 days before the review date.</w:t>
      </w:r>
    </w:p>
    <w:p>
      <w:pPr>
        <w:pStyle w:val="ListParagraph"/>
        <w:numPr>
          <w:ilvl w:val="0"/>
          <w:numId w:val="3"/>
        </w:numPr>
        <w:spacing w:after="60" w:before="60"/>
      </w:pPr>
      <w:r>
        <w:rPr>
          <w:rFonts w:ascii="Arial" w:cs="Arial" w:eastAsia="Arial" w:hAnsi="Arial"/>
          <w:sz w:val="20"/>
          <w:szCs w:val="20"/>
        </w:rPr>
        <w:t xml:space="preserve">THE Gateway SHALL support model retirement procedures: WHEN a model is retired, the Gateway SHALL record the retirement reason, effective date, and the approving Model Risk Officer, and SHALL prevent any new routing to the retired model from that effective date.</w:t>
      </w:r>
    </w:p>
    <w:p>
      <w:pPr>
        <w:pStyle w:val="ListParagraph"/>
        <w:numPr>
          <w:ilvl w:val="0"/>
          <w:numId w:val="3"/>
        </w:numPr>
        <w:spacing w:after="60" w:before="60"/>
      </w:pPr>
      <w:r>
        <w:rPr>
          <w:rFonts w:ascii="Arial" w:cs="Arial" w:eastAsia="Arial" w:hAnsi="Arial"/>
          <w:sz w:val="20"/>
          <w:szCs w:val="20"/>
        </w:rPr>
        <w:t xml:space="preserve">THE Gateway SHALL support SR 11-7 and EBA MRM Guideline documentation requirements, providing exportable model documentation templates including: model description, intended use, assumptions and limitations, validation results, and ongoing monitoring plan.</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34: Financial Crime and Fraud Prevention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financial crime officer, I want controls preventing AI misuse in regulated financial activities involving AML-sensitive information, fraud indicators, or case management data.</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Detection_Engine SHALL support detection of: bank account numbers (IBAN-format and national formats per active locale), payment identifiers (SWIFT MT reference numbers, SEPA end-to-end IDs), customer identifiers (configurable per tenant), and AML case reference numbers (configurable via custom recogniser).</w:t>
      </w:r>
    </w:p>
    <w:p>
      <w:pPr>
        <w:pStyle w:val="ListParagraph"/>
        <w:numPr>
          <w:ilvl w:val="0"/>
          <w:numId w:val="3"/>
        </w:numPr>
        <w:spacing w:after="60" w:before="60"/>
      </w:pPr>
      <w:r>
        <w:rPr>
          <w:rFonts w:ascii="Arial" w:cs="Arial" w:eastAsia="Arial" w:hAnsi="Arial"/>
          <w:sz w:val="20"/>
          <w:szCs w:val="20"/>
        </w:rPr>
        <w:t xml:space="preserve">THE Gateway SHALL support custom financial crime detection policies defined in the custom recogniser YAML configuration, with dedicated entity types (AML_CASE, PAYMENT_REF, CUSTOMER_ID) that trigger AML-specific handling.</w:t>
      </w:r>
    </w:p>
    <w:p>
      <w:pPr>
        <w:pStyle w:val="ListParagraph"/>
        <w:numPr>
          <w:ilvl w:val="0"/>
          <w:numId w:val="3"/>
        </w:numPr>
        <w:spacing w:after="60" w:before="60"/>
      </w:pPr>
      <w:r>
        <w:rPr>
          <w:rFonts w:ascii="Arial" w:cs="Arial" w:eastAsia="Arial" w:hAnsi="Arial"/>
          <w:sz w:val="20"/>
          <w:szCs w:val="20"/>
        </w:rPr>
        <w:t xml:space="preserve">WHEN a request matches a financial crime detection pattern, THE Gateway SHALL: flag the request in the audit log with a structured AML_ALERT field, apply the configured handling policy (anonymise-and-forward, hold for review, or block), and increment the anonreq_financial_crime_events_total Prometheus counter labelled by event type.</w:t>
      </w:r>
    </w:p>
    <w:p>
      <w:pPr>
        <w:pStyle w:val="ListParagraph"/>
        <w:numPr>
          <w:ilvl w:val="0"/>
          <w:numId w:val="3"/>
        </w:numPr>
        <w:spacing w:after="60" w:before="60"/>
      </w:pPr>
      <w:r>
        <w:rPr>
          <w:rFonts w:ascii="Arial" w:cs="Arial" w:eastAsia="Arial" w:hAnsi="Arial"/>
          <w:sz w:val="20"/>
          <w:szCs w:val="20"/>
        </w:rPr>
        <w:t xml:space="preserve">THE Gateway SHALL support detection of suspicious activity patterns across a session window (configurable, default 1 hour): WHEN a single tenant or user generates more than a configurable number of requests containing AML-sensitive entity types within the session window, THE Gateway SHALL log a structured SUSPICIOUS_PATTERN event and notify the tenant's security_officer via webhook.</w:t>
      </w:r>
    </w:p>
    <w:p>
      <w:pPr>
        <w:pStyle w:val="ListParagraph"/>
        <w:numPr>
          <w:ilvl w:val="0"/>
          <w:numId w:val="3"/>
        </w:numPr>
        <w:spacing w:after="60" w:before="60"/>
      </w:pPr>
      <w:r>
        <w:rPr>
          <w:rFonts w:ascii="Arial" w:cs="Arial" w:eastAsia="Arial" w:hAnsi="Arial"/>
          <w:sz w:val="20"/>
          <w:szCs w:val="20"/>
        </w:rPr>
        <w:t xml:space="preserve">THE Gateway SHALL support integration with external AML platforms, fraud detection platforms, and case management systems via outbound webhook: WHEN a financial crime event is detected, THE Gateway SHALL POST a structured notification (containing only metadata — no raw content) to a configured webhook endpoint within 5 seconds of detection.</w:t>
      </w:r>
    </w:p>
    <w:p>
      <w:pPr>
        <w:pStyle w:val="ListParagraph"/>
        <w:numPr>
          <w:ilvl w:val="0"/>
          <w:numId w:val="3"/>
        </w:numPr>
        <w:spacing w:after="60" w:before="60"/>
      </w:pPr>
      <w:r>
        <w:rPr>
          <w:rFonts w:ascii="Arial" w:cs="Arial" w:eastAsia="Arial" w:hAnsi="Arial"/>
          <w:sz w:val="20"/>
          <w:szCs w:val="20"/>
        </w:rPr>
        <w:t xml:space="preserve">Financial crime audit entries and AML_ALERT events SHALL be exportable via an authenticated API endpoint in JSON format, filtered by date range, entity type, and alert classification, with retention of at least 10 years in accordance with AML record-keeping requirements.</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35: Operational Resilience and DORA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DORA programme manager at a financial institution classified as a financial entity under DORA, I want AnonReq integrated into our ICT operational resilience framework with testable resilience controls and documented evidence for DORA compliance reporting.</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critical-service classification, enabling operators to designate the Gateway as a critical ICT service under DORA Article 2, which triggers mandatory resilience testing, ICT third-party risk assessment, and incident reporting requirements.</w:t>
      </w:r>
    </w:p>
    <w:p>
      <w:pPr>
        <w:pStyle w:val="ListParagraph"/>
        <w:numPr>
          <w:ilvl w:val="0"/>
          <w:numId w:val="3"/>
        </w:numPr>
        <w:spacing w:after="60" w:before="60"/>
      </w:pPr>
      <w:r>
        <w:rPr>
          <w:rFonts w:ascii="Arial" w:cs="Arial" w:eastAsia="Arial" w:hAnsi="Arial"/>
          <w:sz w:val="20"/>
          <w:szCs w:val="20"/>
        </w:rPr>
        <w:t xml:space="preserve">WHEN designated as a critical ICT service, THE Gateway SHALL support digital operational resilience testing including: vulnerability assessments, scenario-based exercises (simulated Detection_Engine failure, Cache_Manager failure, provider outage, network partition), and penetration testing by authorised parties. Test plans and results SHALL be retained as DORA evidence.</w:t>
      </w:r>
    </w:p>
    <w:p>
      <w:pPr>
        <w:pStyle w:val="ListParagraph"/>
        <w:numPr>
          <w:ilvl w:val="0"/>
          <w:numId w:val="3"/>
        </w:numPr>
        <w:spacing w:after="60" w:before="60"/>
      </w:pPr>
      <w:r>
        <w:rPr>
          <w:rFonts w:ascii="Arial" w:cs="Arial" w:eastAsia="Arial" w:hAnsi="Arial"/>
          <w:sz w:val="20"/>
          <w:szCs w:val="20"/>
        </w:rPr>
        <w:t xml:space="preserve">THE Gateway SHALL support disruption scenario exercises in which specific components (Detection_Engine, Cache_Manager, upstream providers) can be intentionally disabled via an authenticated test mode API, enabling live resilience exercises without impacting production traffic (test mode SHALL be restricted to the administrator role and SHALL be logged in the audit trail).</w:t>
      </w:r>
    </w:p>
    <w:p>
      <w:pPr>
        <w:pStyle w:val="ListParagraph"/>
        <w:numPr>
          <w:ilvl w:val="0"/>
          <w:numId w:val="3"/>
        </w:numPr>
        <w:spacing w:after="60" w:before="60"/>
      </w:pPr>
      <w:r>
        <w:rPr>
          <w:rFonts w:ascii="Arial" w:cs="Arial" w:eastAsia="Arial" w:hAnsi="Arial"/>
          <w:sz w:val="20"/>
          <w:szCs w:val="20"/>
        </w:rPr>
        <w:t xml:space="preserve">THE Gateway SHALL support recovery testing by providing: automated failover tests that verify the Gateway continues serving traffic within the defined RTO (see Requirement 20) after simulated instance failure, and configuration recovery tests that verify configuration is correctly restored after redeployment.</w:t>
      </w:r>
    </w:p>
    <w:p>
      <w:pPr>
        <w:pStyle w:val="ListParagraph"/>
        <w:numPr>
          <w:ilvl w:val="0"/>
          <w:numId w:val="3"/>
        </w:numPr>
        <w:spacing w:after="60" w:before="60"/>
      </w:pPr>
      <w:r>
        <w:rPr>
          <w:rFonts w:ascii="Arial" w:cs="Arial" w:eastAsia="Arial" w:hAnsi="Arial"/>
          <w:sz w:val="20"/>
          <w:szCs w:val="20"/>
        </w:rPr>
        <w:t xml:space="preserve">Recovery testing evidence SHALL be retained: each recovery test SHALL generate a structured test report containing: test date, test type, components involved, test outcome (pass/fail), time-to-recovery measured in seconds, and the identity of the person who authorised the test.</w:t>
      </w:r>
    </w:p>
    <w:p>
      <w:pPr>
        <w:pStyle w:val="ListParagraph"/>
        <w:numPr>
          <w:ilvl w:val="0"/>
          <w:numId w:val="3"/>
        </w:numPr>
        <w:spacing w:after="60" w:before="60"/>
      </w:pPr>
      <w:r>
        <w:rPr>
          <w:rFonts w:ascii="Arial" w:cs="Arial" w:eastAsia="Arial" w:hAnsi="Arial"/>
          <w:sz w:val="20"/>
          <w:szCs w:val="20"/>
        </w:rPr>
        <w:t xml:space="preserve">THE Gateway SHALL support DORA operational resilience reporting by providing an exportable DORA evidence package containing: critical service classification record, ICT third-party risk assessments for all LLM providers, resilience test plans and results, incident records and RCA reports, and recovery time measurements.</w:t>
      </w:r>
    </w:p>
    <w:p>
      <w:pPr>
        <w:pStyle w:val="ListParagraph"/>
        <w:numPr>
          <w:ilvl w:val="0"/>
          <w:numId w:val="3"/>
        </w:numPr>
        <w:spacing w:after="60" w:before="60"/>
      </w:pPr>
      <w:r>
        <w:rPr>
          <w:rFonts w:ascii="Arial" w:cs="Arial" w:eastAsia="Arial" w:hAnsi="Arial"/>
          <w:sz w:val="20"/>
          <w:szCs w:val="20"/>
        </w:rPr>
        <w:t xml:space="preserve">THE Gateway SHALL support ICT third-party risk assessments (TPRA) for each configured LLM provider, recording: provider legal entity, jurisdiction, subcontractor chain (where known), contractual SLA, data residency, exit strategy, and last review date. Provider routing SHALL be blocked for providers whose TPRA is overdue.</w:t>
      </w:r>
    </w:p>
    <w:p>
      <w:pPr>
        <w:pStyle w:val="ListParagraph"/>
        <w:numPr>
          <w:ilvl w:val="0"/>
          <w:numId w:val="3"/>
        </w:numPr>
        <w:spacing w:after="60" w:before="60"/>
      </w:pPr>
      <w:r>
        <w:rPr>
          <w:rFonts w:ascii="Arial" w:cs="Arial" w:eastAsia="Arial" w:hAnsi="Arial"/>
          <w:sz w:val="20"/>
          <w:szCs w:val="20"/>
        </w:rPr>
        <w:t xml:space="preserve">THE Gateway SHALL support DORA major incident classification and reporting: WHEN an incident meeting configurable severity thresholds (e.g., &gt;30 minutes of fail-secure events blocking &gt;20% of tenant traffic) occurs, THE Gateway SHALL generate a structured incident record suitable for submission to the competent authority under DORA Article 19.</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36: Data Lineage, Traceability, and Immutable Audit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an auditor or regulator, I want complete, cryptographically verifiable traceability of every AI interaction processed by AnonReq, so that I can independently verify that anonymisation controls operated correctly for any historical request.</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maintain lineage records linking, for each request-response cycle: the source request (metadata only — Session_ID, Tenant_ID, timestamp, source IP), anonymisation events (entity types detected, entity counts, Tokens assigned — no raw values), provider routing decisions (selected provider, routing policy applied, provider response code), restoration events (Tokens restored, restoration latency), and final response metadata (HTTP status, response latency, streaming flag).</w:t>
      </w:r>
    </w:p>
    <w:p>
      <w:pPr>
        <w:pStyle w:val="ListParagraph"/>
        <w:numPr>
          <w:ilvl w:val="0"/>
          <w:numId w:val="3"/>
        </w:numPr>
        <w:spacing w:after="60" w:before="60"/>
      </w:pPr>
      <w:r>
        <w:rPr>
          <w:rFonts w:ascii="Arial" w:cs="Arial" w:eastAsia="Arial" w:hAnsi="Arial"/>
          <w:sz w:val="20"/>
          <w:szCs w:val="20"/>
        </w:rPr>
        <w:t xml:space="preserve">Lineage records SHALL be immutable: once written, they SHALL NOT be modifiable or deletable via any Gateway API or administrative interface. The Gateway SHALL use an append-only log structure for lineage storage.</w:t>
      </w:r>
    </w:p>
    <w:p>
      <w:pPr>
        <w:pStyle w:val="ListParagraph"/>
        <w:numPr>
          <w:ilvl w:val="0"/>
          <w:numId w:val="3"/>
        </w:numPr>
        <w:spacing w:after="60" w:before="60"/>
      </w:pPr>
      <w:r>
        <w:rPr>
          <w:rFonts w:ascii="Arial" w:cs="Arial" w:eastAsia="Arial" w:hAnsi="Arial"/>
          <w:sz w:val="20"/>
          <w:szCs w:val="20"/>
        </w:rPr>
        <w:t xml:space="preserve">Lineage records SHALL support export in JSON, CSV, and NDJSON (newline-delimited JSON) formats via an authenticated API endpoint, filterable by Tenant_ID, date range, and Session_ID.</w:t>
      </w:r>
    </w:p>
    <w:p>
      <w:pPr>
        <w:pStyle w:val="ListParagraph"/>
        <w:numPr>
          <w:ilvl w:val="0"/>
          <w:numId w:val="3"/>
        </w:numPr>
        <w:spacing w:after="60" w:before="60"/>
      </w:pPr>
      <w:r>
        <w:rPr>
          <w:rFonts w:ascii="Arial" w:cs="Arial" w:eastAsia="Arial" w:hAnsi="Arial"/>
          <w:sz w:val="20"/>
          <w:szCs w:val="20"/>
        </w:rPr>
        <w:t xml:space="preserve">Lineage records SHALL support cryptographic integrity verification: THE Gateway SHALL compute a SHA-256 hash over each lineage record at write time and SHALL store the hash alongside the record. An authenticated API endpoint SHALL support batch integrity verification, returning the count of records whose computed hash does not match the stored hash.</w:t>
      </w:r>
    </w:p>
    <w:p>
      <w:pPr>
        <w:pStyle w:val="ListParagraph"/>
        <w:numPr>
          <w:ilvl w:val="0"/>
          <w:numId w:val="3"/>
        </w:numPr>
        <w:spacing w:after="60" w:before="60"/>
      </w:pPr>
      <w:r>
        <w:rPr>
          <w:rFonts w:ascii="Arial" w:cs="Arial" w:eastAsia="Arial" w:hAnsi="Arial"/>
          <w:sz w:val="20"/>
          <w:szCs w:val="20"/>
        </w:rPr>
        <w:t xml:space="preserve">THE Gateway SHALL support regulator review workflows: a named read_only_auditor SHALL be able to retrieve lineage records for a specified Session_ID, Tenant_ID, and date range via an authenticated API endpoint, with all access logged in the audit trail.</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37: Record Retention and Legal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legal counsel, I want configurable retention policies and legal hold controls that prevent deletion of records subject to regulatory investigation, litigation hold, or mandatory retention obligations.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configurable retention policies per tenant for: audit logs, governance records, risk assessments, compliance evidence, lineage records, and financial crime records. Each policy SHALL specify: record type, retention period (in days), and disposition action (delete or archive) upon expiry.</w:t>
      </w:r>
    </w:p>
    <w:p>
      <w:pPr>
        <w:pStyle w:val="ListParagraph"/>
        <w:numPr>
          <w:ilvl w:val="0"/>
          <w:numId w:val="3"/>
        </w:numPr>
        <w:spacing w:after="60" w:before="60"/>
      </w:pPr>
      <w:r>
        <w:rPr>
          <w:rFonts w:ascii="Arial" w:cs="Arial" w:eastAsia="Arial" w:hAnsi="Arial"/>
          <w:sz w:val="20"/>
          <w:szCs w:val="20"/>
        </w:rPr>
        <w:t xml:space="preserve">Retention policies SHALL be applied consistently: records SHALL NOT be deletable via any API or administrative interface before their configured retention period has elapsed, except where a legal hold is in place (which extends retention indefinitely).</w:t>
      </w:r>
    </w:p>
    <w:p>
      <w:pPr>
        <w:pStyle w:val="ListParagraph"/>
        <w:numPr>
          <w:ilvl w:val="0"/>
          <w:numId w:val="3"/>
        </w:numPr>
        <w:spacing w:after="60" w:before="60"/>
      </w:pPr>
      <w:r>
        <w:rPr>
          <w:rFonts w:ascii="Arial" w:cs="Arial" w:eastAsia="Arial" w:hAnsi="Arial"/>
          <w:sz w:val="20"/>
          <w:szCs w:val="20"/>
        </w:rPr>
        <w:t xml:space="preserve">THE Gateway SHALL support legal hold: a named legal_counsel role SHALL be able to place a legal hold on all records associated with a Tenant_ID, Session_ID, or date range, preventing deletion regardless of the configured retention policy.</w:t>
      </w:r>
    </w:p>
    <w:p>
      <w:pPr>
        <w:pStyle w:val="ListParagraph"/>
        <w:numPr>
          <w:ilvl w:val="0"/>
          <w:numId w:val="3"/>
        </w:numPr>
        <w:spacing w:after="60" w:before="60"/>
      </w:pPr>
      <w:r>
        <w:rPr>
          <w:rFonts w:ascii="Arial" w:cs="Arial" w:eastAsia="Arial" w:hAnsi="Arial"/>
          <w:sz w:val="20"/>
          <w:szCs w:val="20"/>
        </w:rPr>
        <w:t xml:space="preserve">Legal hold SHALL prevent deletion of protected records: THE Gateway SHALL return HTTP 409 with a structured error body if a deletion is attempted on records under legal hold.</w:t>
      </w:r>
    </w:p>
    <w:p>
      <w:pPr>
        <w:pStyle w:val="ListParagraph"/>
        <w:numPr>
          <w:ilvl w:val="0"/>
          <w:numId w:val="3"/>
        </w:numPr>
        <w:spacing w:after="60" w:before="60"/>
      </w:pPr>
      <w:r>
        <w:rPr>
          <w:rFonts w:ascii="Arial" w:cs="Arial" w:eastAsia="Arial" w:hAnsi="Arial"/>
          <w:sz w:val="20"/>
          <w:szCs w:val="20"/>
        </w:rPr>
        <w:t xml:space="preserve">All legal hold actions (placement, modification, release) SHALL be audited in the governance audit log, recording: action type, hold scope (Tenant_ID, date range, or Session_ID), actor identity, timestamp, and stated reason.</w:t>
      </w:r>
    </w:p>
    <w:p>
      <w:pPr>
        <w:pStyle w:val="ListParagraph"/>
        <w:numPr>
          <w:ilvl w:val="0"/>
          <w:numId w:val="3"/>
        </w:numPr>
        <w:spacing w:after="60" w:before="60"/>
      </w:pPr>
      <w:r>
        <w:rPr>
          <w:rFonts w:ascii="Arial" w:cs="Arial" w:eastAsia="Arial" w:hAnsi="Arial"/>
          <w:sz w:val="20"/>
          <w:szCs w:val="20"/>
        </w:rPr>
        <w:t xml:space="preserve">Retention schedules SHALL be exportable in JSON and CSV format via an authenticated API endpoint, enabling legal teams to document retention obligations during regulatory reporting.</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38: Trading Floor and Research Environment Segregation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hedge fund CISO, I want AI access controls appropriate for trading and research environments so that information barriers (Chinese walls) between business units are enforced at the LLM API layer.</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logical segregation of LLM API access between the following environment types: Trading, Research, Operations, Compliance, and Risk. Each environment SHALL be configured as a named business unit within a tenant.</w:t>
      </w:r>
    </w:p>
    <w:p>
      <w:pPr>
        <w:pStyle w:val="ListParagraph"/>
        <w:numPr>
          <w:ilvl w:val="0"/>
          <w:numId w:val="3"/>
        </w:numPr>
        <w:spacing w:after="60" w:before="60"/>
      </w:pPr>
      <w:r>
        <w:rPr>
          <w:rFonts w:ascii="Arial" w:cs="Arial" w:eastAsia="Arial" w:hAnsi="Arial"/>
          <w:sz w:val="20"/>
          <w:szCs w:val="20"/>
        </w:rPr>
        <w:t xml:space="preserve">Anonymisation and handling policies SHALL be enforceable by business unit: each business unit SHALL have an independently configurable compliance preset, MNPI policy, model allowlist, and rate limit.</w:t>
      </w:r>
    </w:p>
    <w:p>
      <w:pPr>
        <w:pStyle w:val="ListParagraph"/>
        <w:numPr>
          <w:ilvl w:val="0"/>
          <w:numId w:val="3"/>
        </w:numPr>
        <w:spacing w:after="60" w:before="60"/>
      </w:pPr>
      <w:r>
        <w:rPr>
          <w:rFonts w:ascii="Arial" w:cs="Arial" w:eastAsia="Arial" w:hAnsi="Arial"/>
          <w:sz w:val="20"/>
          <w:szCs w:val="20"/>
        </w:rPr>
        <w:t xml:space="preserve">Approved AI models MAY differ by environment: the model allowlist for the Trading environment SHALL be independently configurable from the model allowlist for the Research environment, enabling the model risk officer to approve different models for different risk contexts.</w:t>
      </w:r>
    </w:p>
    <w:p>
      <w:pPr>
        <w:pStyle w:val="ListParagraph"/>
        <w:numPr>
          <w:ilvl w:val="0"/>
          <w:numId w:val="3"/>
        </w:numPr>
        <w:spacing w:after="60" w:before="60"/>
      </w:pPr>
      <w:r>
        <w:rPr>
          <w:rFonts w:ascii="Arial" w:cs="Arial" w:eastAsia="Arial" w:hAnsi="Arial"/>
          <w:sz w:val="20"/>
          <w:szCs w:val="20"/>
        </w:rPr>
        <w:t xml:space="preserve">Restricted environments (Trading, Compliance) SHALL support additional inspection controls: WHEN a request originates from a restricted environment, THE Gateway SHALL apply enhanced detection (lower Confidence_Threshold, expanded entity type set) and route the request to a human review queue if any MNPI or Restricted-classified entity is detected.</w:t>
      </w:r>
    </w:p>
    <w:p>
      <w:pPr>
        <w:pStyle w:val="ListParagraph"/>
        <w:numPr>
          <w:ilvl w:val="0"/>
          <w:numId w:val="3"/>
        </w:numPr>
        <w:spacing w:after="60" w:before="60"/>
      </w:pPr>
      <w:r>
        <w:rPr>
          <w:rFonts w:ascii="Arial" w:cs="Arial" w:eastAsia="Arial" w:hAnsi="Arial"/>
          <w:sz w:val="20"/>
          <w:szCs w:val="20"/>
        </w:rPr>
        <w:t xml:space="preserve">Cross-environment access SHALL be auditable: WHEN a user from one business unit accesses a model or resource configured for a different business unit, THE Gateway SHALL log a structured CROSS_ENVIRONMENT_ACCESS event in the audit trail.</w:t>
      </w:r>
    </w:p>
    <w:p>
      <w:pPr>
        <w:pStyle w:val="ListParagraph"/>
        <w:numPr>
          <w:ilvl w:val="0"/>
          <w:numId w:val="3"/>
        </w:numPr>
        <w:spacing w:after="60" w:before="60"/>
      </w:pPr>
      <w:r>
        <w:rPr>
          <w:rFonts w:ascii="Arial" w:cs="Arial" w:eastAsia="Arial" w:hAnsi="Arial"/>
          <w:sz w:val="20"/>
          <w:szCs w:val="20"/>
        </w:rPr>
        <w:t xml:space="preserve">Environment-specific governance policies SHALL be configurable via the administrative API, with changes requiring approval by both the tenant administrator and the designated Compliance officer for that environment.</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39: Third-Party AI Provider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vendor risk manager, I want a structured inventory and approval workflow for all external AI providers so that outsourcing risks remain controlled under DORA, EBA Guidelines, and internal third-party risk management policy.</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maintain a provider inventory for each configured LLM provider endpoint, recording: legal entity name, jurisdiction, data residency (country and region), risk classification (Low / Medium / High), contract status (Active / Expired / Under Review), and last risk assessment date.</w:t>
      </w:r>
    </w:p>
    <w:p>
      <w:pPr>
        <w:pStyle w:val="ListParagraph"/>
        <w:numPr>
          <w:ilvl w:val="0"/>
          <w:numId w:val="3"/>
        </w:numPr>
        <w:spacing w:after="60" w:before="60"/>
      </w:pPr>
      <w:r>
        <w:rPr>
          <w:rFonts w:ascii="Arial" w:cs="Arial" w:eastAsia="Arial" w:hAnsi="Arial"/>
          <w:sz w:val="20"/>
          <w:szCs w:val="20"/>
        </w:rPr>
        <w:t xml:space="preserve">Provider routing SHALL respect provider approval status: requests SHALL NOT be routed to a provider whose risk classification is High and whose DORA TPRA (see Requirement 35) is overdue, or whose contract status is Expired.</w:t>
      </w:r>
    </w:p>
    <w:p>
      <w:pPr>
        <w:pStyle w:val="ListParagraph"/>
        <w:numPr>
          <w:ilvl w:val="0"/>
          <w:numId w:val="3"/>
        </w:numPr>
        <w:spacing w:after="60" w:before="60"/>
      </w:pPr>
      <w:r>
        <w:rPr>
          <w:rFonts w:ascii="Arial" w:cs="Arial" w:eastAsia="Arial" w:hAnsi="Arial"/>
          <w:sz w:val="20"/>
          <w:szCs w:val="20"/>
        </w:rPr>
        <w:t xml:space="preserve">THE Gateway SHALL support provider approval workflows in which the addition of a new provider requires: completion of a provider risk assessment, approval by the vendor_risk_manager role, and recording of the approval in the governance register.</w:t>
      </w:r>
    </w:p>
    <w:p>
      <w:pPr>
        <w:pStyle w:val="ListParagraph"/>
        <w:numPr>
          <w:ilvl w:val="0"/>
          <w:numId w:val="3"/>
        </w:numPr>
        <w:spacing w:after="60" w:before="60"/>
      </w:pPr>
      <w:r>
        <w:rPr>
          <w:rFonts w:ascii="Arial" w:cs="Arial" w:eastAsia="Arial" w:hAnsi="Arial"/>
          <w:sz w:val="20"/>
          <w:szCs w:val="20"/>
        </w:rPr>
        <w:t xml:space="preserve">THE Gateway SHALL support provider reassessment schedules: automated notifications SHALL be sent to the vendor_risk_manager role when a provider's risk assessment is due for renewal (configurable interval, default: annual).</w:t>
      </w:r>
    </w:p>
    <w:p>
      <w:pPr>
        <w:pStyle w:val="ListParagraph"/>
        <w:numPr>
          <w:ilvl w:val="0"/>
          <w:numId w:val="3"/>
        </w:numPr>
        <w:spacing w:after="60" w:before="60"/>
      </w:pPr>
      <w:r>
        <w:rPr>
          <w:rFonts w:ascii="Arial" w:cs="Arial" w:eastAsia="Arial" w:hAnsi="Arial"/>
          <w:sz w:val="20"/>
          <w:szCs w:val="20"/>
        </w:rPr>
        <w:t xml:space="preserve">THE Gateway SHALL support provider suspension: the administrator role SHALL be able to immediately suspend a provider, preventing all routing to that provider effective within 30 seconds, with the suspension recorded in the governance register.</w:t>
      </w:r>
    </w:p>
    <w:p>
      <w:pPr>
        <w:pStyle w:val="ListParagraph"/>
        <w:numPr>
          <w:ilvl w:val="0"/>
          <w:numId w:val="3"/>
        </w:numPr>
        <w:spacing w:after="60" w:before="60"/>
      </w:pPr>
      <w:r>
        <w:rPr>
          <w:rFonts w:ascii="Arial" w:cs="Arial" w:eastAsia="Arial" w:hAnsi="Arial"/>
          <w:sz w:val="20"/>
          <w:szCs w:val="20"/>
        </w:rPr>
        <w:t xml:space="preserve">Provider routing SHALL enforce the geographic restrictions configured in Requirement 22: a provider whose registered jurisdiction conflicts with the active geographic restriction policy SHALL be automatically suspended and flagged for vendor_risk_manager review.</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40: Data Classification and Information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an information security officer, I want all data processed by AnonReq classified before transmission to AI providers, so that handling controls are applied consistently based on the sensitivity of the content.</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the following classification levels, applied per detected entity or request: Public, Internal, Confidential, Restricted, and Highly Restricted.</w:t>
      </w:r>
    </w:p>
    <w:p>
      <w:pPr>
        <w:pStyle w:val="ListParagraph"/>
        <w:numPr>
          <w:ilvl w:val="0"/>
          <w:numId w:val="3"/>
        </w:numPr>
        <w:spacing w:after="60" w:before="60"/>
      </w:pPr>
      <w:r>
        <w:rPr>
          <w:rFonts w:ascii="Arial" w:cs="Arial" w:eastAsia="Arial" w:hAnsi="Arial"/>
          <w:sz w:val="20"/>
          <w:szCs w:val="20"/>
        </w:rPr>
        <w:t xml:space="preserve">Detection rules SHALL support classification assignment: each custom recogniser entry in the YAML configuration SHALL optionally specify a classification field that tags matched entities with the corresponding classification level.</w:t>
      </w:r>
    </w:p>
    <w:p>
      <w:pPr>
        <w:pStyle w:val="ListParagraph"/>
        <w:numPr>
          <w:ilvl w:val="0"/>
          <w:numId w:val="3"/>
        </w:numPr>
        <w:spacing w:after="60" w:before="60"/>
      </w:pPr>
      <w:r>
        <w:rPr>
          <w:rFonts w:ascii="Arial" w:cs="Arial" w:eastAsia="Arial" w:hAnsi="Arial"/>
          <w:sz w:val="20"/>
          <w:szCs w:val="20"/>
        </w:rPr>
        <w:t xml:space="preserve">Handling policies SHALL be configurable by classification level per tenant: for each classification level, the tenant administrator SHALL be able to configure whether the Gateway should anonymise-and-forward, hold for human review, or block the request entirely.</w:t>
      </w:r>
    </w:p>
    <w:p>
      <w:pPr>
        <w:pStyle w:val="ListParagraph"/>
        <w:numPr>
          <w:ilvl w:val="0"/>
          <w:numId w:val="3"/>
        </w:numPr>
        <w:spacing w:after="60" w:before="60"/>
      </w:pPr>
      <w:r>
        <w:rPr>
          <w:rFonts w:ascii="Arial" w:cs="Arial" w:eastAsia="Arial" w:hAnsi="Arial"/>
          <w:sz w:val="20"/>
          <w:szCs w:val="20"/>
        </w:rPr>
        <w:t xml:space="preserve">Highly Restricted and Restricted information MAY be blocked entirely: WHEN a request contains entities classified as Restricted or Highly Restricted and the handling policy for that classification is 'block', THE Gateway SHALL return HTTP 403 with a structured error body (containing no raw content) and SHALL log a structured CLASSIFICATION_BLOCK event in the audit trail.</w:t>
      </w:r>
    </w:p>
    <w:p>
      <w:pPr>
        <w:pStyle w:val="ListParagraph"/>
        <w:numPr>
          <w:ilvl w:val="0"/>
          <w:numId w:val="3"/>
        </w:numPr>
        <w:spacing w:after="60" w:before="60"/>
      </w:pPr>
      <w:r>
        <w:rPr>
          <w:rFonts w:ascii="Arial" w:cs="Arial" w:eastAsia="Arial" w:hAnsi="Arial"/>
          <w:sz w:val="20"/>
          <w:szCs w:val="20"/>
        </w:rPr>
        <w:t xml:space="preserve">Classification decisions SHALL be auditable: each audit log entry SHALL include a classification_summary field containing a count of detected entities per classification level (not the entity values or the content that triggered classification).</w:t>
      </w:r>
    </w:p>
    <w:p>
      <w:pPr>
        <w:pStyle w:val="ListParagraph"/>
        <w:numPr>
          <w:ilvl w:val="0"/>
          <w:numId w:val="3"/>
        </w:numPr>
        <w:spacing w:after="60" w:before="60"/>
      </w:pPr>
      <w:r>
        <w:rPr>
          <w:rFonts w:ascii="Arial" w:cs="Arial" w:eastAsia="Arial" w:hAnsi="Arial"/>
          <w:sz w:val="20"/>
          <w:szCs w:val="20"/>
        </w:rPr>
        <w:t xml:space="preserve">Classification metadata SHALL be available for downstream governance systems: THE Gateway SHALL include classification_summary in the lineage record for each request, enabling GRC platforms consuming the lineage export to filter and report by data sensitivity.</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41: Board and Executive AI Governance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board member or executive sponsor of AI governance, I want executive-level visibility into AI usage, provider risk exposure, compliance posture, and governance exceptions, delivered in a format suitable for board reporting and regulatory presentation.</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provide executive AI governance reports covering: total AI usage (requests, token volumes, cost estimates) per business unit and provider; provider risk exposure (requests routed to each provider, classified by provider risk rating); compliance posture (active presets, entity types detected, policy violations); risk events (fail-secure events, MNPI detections, classification blocks, financial crime alerts); and governance exceptions (overdue risk assessments, overdue model reviews, expired provider contracts).</w:t>
      </w:r>
    </w:p>
    <w:p>
      <w:pPr>
        <w:pStyle w:val="ListParagraph"/>
        <w:numPr>
          <w:ilvl w:val="0"/>
          <w:numId w:val="3"/>
        </w:numPr>
        <w:spacing w:after="60" w:before="60"/>
      </w:pPr>
      <w:r>
        <w:rPr>
          <w:rFonts w:ascii="Arial" w:cs="Arial" w:eastAsia="Arial" w:hAnsi="Arial"/>
          <w:sz w:val="20"/>
          <w:szCs w:val="20"/>
        </w:rPr>
        <w:t xml:space="preserve">Reports SHALL support monthly and quarterly generation, with data aggregated over the selected reporting period. The report generation timestamp and the identity of the requesting user SHALL be recorded in the governance audit log.</w:t>
      </w:r>
    </w:p>
    <w:p>
      <w:pPr>
        <w:pStyle w:val="ListParagraph"/>
        <w:numPr>
          <w:ilvl w:val="0"/>
          <w:numId w:val="3"/>
        </w:numPr>
        <w:spacing w:after="60" w:before="60"/>
      </w:pPr>
      <w:r>
        <w:rPr>
          <w:rFonts w:ascii="Arial" w:cs="Arial" w:eastAsia="Arial" w:hAnsi="Arial"/>
          <w:sz w:val="20"/>
          <w:szCs w:val="20"/>
        </w:rPr>
        <w:t xml:space="preserve">Reports SHALL support PDF export via an authenticated API endpoint, producing a formatted PDF report suitable for direct inclusion in board packs or regulatory submissions.</w:t>
      </w:r>
    </w:p>
    <w:p>
      <w:pPr>
        <w:pStyle w:val="ListParagraph"/>
        <w:numPr>
          <w:ilvl w:val="0"/>
          <w:numId w:val="3"/>
        </w:numPr>
        <w:spacing w:after="60" w:before="60"/>
      </w:pPr>
      <w:r>
        <w:rPr>
          <w:rFonts w:ascii="Arial" w:cs="Arial" w:eastAsia="Arial" w:hAnsi="Arial"/>
          <w:sz w:val="20"/>
          <w:szCs w:val="20"/>
        </w:rPr>
        <w:t xml:space="preserve">Reports SHALL support evidence drill-down: each summary metric in the executive report SHALL link to the underlying audit log entries or lineage records that constitute the evidence for that metric, accessible to the read_only_auditor role via the authenticated API.</w:t>
      </w:r>
    </w:p>
    <w:p>
      <w:pPr>
        <w:pStyle w:val="ListParagraph"/>
        <w:numPr>
          <w:ilvl w:val="0"/>
          <w:numId w:val="3"/>
        </w:numPr>
        <w:spacing w:after="60" w:before="60"/>
      </w:pPr>
      <w:r>
        <w:rPr>
          <w:rFonts w:ascii="Arial" w:cs="Arial" w:eastAsia="Arial" w:hAnsi="Arial"/>
          <w:sz w:val="20"/>
          <w:szCs w:val="20"/>
        </w:rPr>
        <w:t xml:space="preserve">Reports SHALL support regulator and board presentation use cases: the PDF export SHALL include a document header identifying the reporting period, the generating organisation, and the AnonReq version, and SHALL exclude all raw PII or content.</w:t>
      </w:r>
    </w:p>
    <w:p>
      <w:pPr>
        <w:pStyle w:val="ListParagraph"/>
        <w:numPr>
          <w:ilvl w:val="0"/>
          <w:numId w:val="3"/>
        </w:numPr>
        <w:spacing w:after="60" w:before="60"/>
      </w:pPr>
      <w:r>
        <w:rPr>
          <w:rFonts w:ascii="Arial" w:cs="Arial" w:eastAsia="Arial" w:hAnsi="Arial"/>
          <w:sz w:val="20"/>
          <w:szCs w:val="20"/>
        </w:rPr>
        <w:t xml:space="preserve">THE Gateway SHALL support automated report scheduling: tenant administrators SHALL be able to configure quarterly and monthly reports to be generated automatically and delivered to specified recipients via email, with the delivery event logged in the governance audit trail.</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42: Post-Market Monitoring and Incident Reporting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compliance officer operating under the EU AI Act, I want ongoing post-deployment monitoring of AnonReq's performance and a structured incident reporting workflow, so that the organisation meets its Article 61 post-market monitoring obligations.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post-deployment monitoring via the Prometheus metrics endpoint (see Requirement 13), with the following additional metrics for post-market monitoring: anonreq_false_negative_reports_total (counter, labelled by entity type — incremented when a false negative is reported via the feedback API), anonreq_policy_violations_total (counter, labelled by violation type), and anonreq_governance_exceptions_total (counter, labelled by exception type).</w:t>
      </w:r>
    </w:p>
    <w:p>
      <w:pPr>
        <w:pStyle w:val="ListParagraph"/>
        <w:numPr>
          <w:ilvl w:val="0"/>
          <w:numId w:val="3"/>
        </w:numPr>
        <w:spacing w:after="60" w:before="60"/>
      </w:pPr>
      <w:r>
        <w:rPr>
          <w:rFonts w:ascii="Arial" w:cs="Arial" w:eastAsia="Arial" w:hAnsi="Arial"/>
          <w:sz w:val="20"/>
          <w:szCs w:val="20"/>
        </w:rPr>
        <w:t xml:space="preserve">THE Gateway SHALL expose a POST /v1/feedback endpoint (authenticated) enabling authorised users to report suspected false negatives (PII that was not detected and was forwarded to a provider). Each feedback record SHALL capture: Session_ID, Tenant_ID, reporter identity, entity type suspected, and a severity classification. Feedback records SHALL NOT capture raw prompt content.</w:t>
      </w:r>
    </w:p>
    <w:p>
      <w:pPr>
        <w:pStyle w:val="ListParagraph"/>
        <w:numPr>
          <w:ilvl w:val="0"/>
          <w:numId w:val="3"/>
        </w:numPr>
        <w:spacing w:after="60" w:before="60"/>
      </w:pPr>
      <w:r>
        <w:rPr>
          <w:rFonts w:ascii="Arial" w:cs="Arial" w:eastAsia="Arial" w:hAnsi="Arial"/>
          <w:sz w:val="20"/>
          <w:szCs w:val="20"/>
        </w:rPr>
        <w:t xml:space="preserve">THE Gateway SHALL support incident classification: WHEN an event meets the severity thresholds defined in tenant configuration (e.g., &gt;N fail-secure events per hour, detection quality drop detected, false negative rate above threshold), THE Gateway SHALL automatically create a structured incident record.</w:t>
      </w:r>
    </w:p>
    <w:p>
      <w:pPr>
        <w:pStyle w:val="ListParagraph"/>
        <w:numPr>
          <w:ilvl w:val="0"/>
          <w:numId w:val="3"/>
        </w:numPr>
        <w:spacing w:after="60" w:before="60"/>
      </w:pPr>
      <w:r>
        <w:rPr>
          <w:rFonts w:ascii="Arial" w:cs="Arial" w:eastAsia="Arial" w:hAnsi="Arial"/>
          <w:sz w:val="20"/>
          <w:szCs w:val="20"/>
        </w:rPr>
        <w:t xml:space="preserve">THE Gateway SHALL support corrective-action tracking: each incident record SHALL support attachment of a corrective action plan, including: action description, responsible owner, target completion date, and completion status. Overdue corrective actions SHALL generate automated notifications.</w:t>
      </w:r>
    </w:p>
    <w:p>
      <w:pPr>
        <w:pStyle w:val="ListParagraph"/>
        <w:numPr>
          <w:ilvl w:val="0"/>
          <w:numId w:val="3"/>
        </w:numPr>
        <w:spacing w:after="60" w:before="60"/>
      </w:pPr>
      <w:r>
        <w:rPr>
          <w:rFonts w:ascii="Arial" w:cs="Arial" w:eastAsia="Arial" w:hAnsi="Arial"/>
          <w:sz w:val="20"/>
          <w:szCs w:val="20"/>
        </w:rPr>
        <w:t xml:space="preserve">THE Gateway SHALL generate periodic monitoring reports (monthly and quarterly) covering: detection quality trend (F1 score per entity type over the reporting period), false negative reports received, incidents raised and their resolution status, governance exceptions identified, and corrective actions completed.</w:t>
      </w:r>
    </w:p>
    <w:p>
      <w:pPr>
        <w:pStyle w:val="ListParagraph"/>
        <w:numPr>
          <w:ilvl w:val="0"/>
          <w:numId w:val="3"/>
        </w:numPr>
        <w:spacing w:after="60" w:before="60"/>
      </w:pPr>
      <w:r>
        <w:rPr>
          <w:rFonts w:ascii="Arial" w:cs="Arial" w:eastAsia="Arial" w:hAnsi="Arial"/>
          <w:sz w:val="20"/>
          <w:szCs w:val="20"/>
        </w:rPr>
        <w:t xml:space="preserve">THE Gateway SHALL support regulatory incident export packages: WHEN an incident meeting EU AI Act serious incident criteria is classified, THE Gateway SHALL generate a structured incident report package exportable in PDF and JSON formats, suitable for submission to the relevant national market surveillance authority.</w:t>
      </w:r>
    </w:p>
    <w:p>
      <w:pPr>
        <w:pStyle w:val="ListParagraph"/>
        <w:numPr>
          <w:ilvl w:val="0"/>
          <w:numId w:val="3"/>
        </w:numPr>
        <w:spacing w:after="60" w:before="60"/>
      </w:pPr>
      <w:r>
        <w:rPr>
          <w:rFonts w:ascii="Arial" w:cs="Arial" w:eastAsia="Arial" w:hAnsi="Arial"/>
          <w:sz w:val="20"/>
          <w:szCs w:val="20"/>
        </w:rPr>
        <w:t xml:space="preserve">Monitoring results SHALL feed back into the risk management process: WHEN a monitoring report identifies a sustained drop in detection quality (F1 below configured threshold for &gt;= 2 consecutive reporting periods), THE Gateway SHALL automatically create a risk register entry and notify the AI governance owner.</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43: Commercial Model, Pricing Tiers, and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an investor or prospective customer evaluating AnonReq, I want a clearly defined commercial model with transparent pricing tiers and licence terms, so that I can assess the business model's defensibility and calculate total cost of ownership.</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Gateway SHALL support three commercially licensed tiers in addition to the open-source Apache 2.0 core: (1) AnonReq Community (Apache 2.0, self-hosted, Phase 1 features, community support); (2) AnonReq Enterprise (commercial licence, Phase 1 + Phase 2 features, SLA-backed support, available as software licence or managed deployment); (3) AnonReq Voice (commercial licence, all Phase 1 + Phase 2 + Phase 3 Voice AI features, available as managed deployment only).</w:t>
      </w:r>
    </w:p>
    <w:p>
      <w:pPr>
        <w:pStyle w:val="ListParagraph"/>
        <w:numPr>
          <w:ilvl w:val="0"/>
          <w:numId w:val="3"/>
        </w:numPr>
        <w:spacing w:after="60" w:before="60"/>
      </w:pPr>
      <w:r>
        <w:rPr>
          <w:rFonts w:ascii="Arial" w:cs="Arial" w:eastAsia="Arial" w:hAnsi="Arial"/>
          <w:sz w:val="20"/>
          <w:szCs w:val="20"/>
        </w:rPr>
        <w:t xml:space="preserve">THE Enterprise tier SHALL be licensed on a per-tenant basis, with pricing based on: number of active tenants, monthly request volume (in bands), and number of compliance presets active. The pricing model SHALL be documented in the commercial licence agreement and available to prospects under NDA.</w:t>
      </w:r>
    </w:p>
    <w:p>
      <w:pPr>
        <w:pStyle w:val="ListParagraph"/>
        <w:numPr>
          <w:ilvl w:val="0"/>
          <w:numId w:val="3"/>
        </w:numPr>
        <w:spacing w:after="60" w:before="60"/>
      </w:pPr>
      <w:r>
        <w:rPr>
          <w:rFonts w:ascii="Arial" w:cs="Arial" w:eastAsia="Arial" w:hAnsi="Arial"/>
          <w:sz w:val="20"/>
          <w:szCs w:val="20"/>
        </w:rPr>
        <w:t xml:space="preserve">THE Enterprise tier SHALL include SLA commitments covering: Gateway availability &gt;= 99.9% per calendar month (excluding scheduled maintenance); fail-secure event rate &lt; 0.01% of requests over any 30-day period; and critical security patch delivery within 72 hours of confirmed exploit.</w:t>
      </w:r>
    </w:p>
    <w:p>
      <w:pPr>
        <w:pStyle w:val="ListParagraph"/>
        <w:numPr>
          <w:ilvl w:val="0"/>
          <w:numId w:val="3"/>
        </w:numPr>
        <w:spacing w:after="60" w:before="60"/>
      </w:pPr>
      <w:r>
        <w:rPr>
          <w:rFonts w:ascii="Arial" w:cs="Arial" w:eastAsia="Arial" w:hAnsi="Arial"/>
          <w:sz w:val="20"/>
          <w:szCs w:val="20"/>
        </w:rPr>
        <w:t xml:space="preserve">THE Gateway README and commercial documentation SHALL clearly delineate which features are available in the Apache 2.0 Community tier and which require a commercial Enterprise or Voice licence, so that prospective customers can self-assess licensing requirements without a sales call.</w:t>
      </w:r>
    </w:p>
    <w:p>
      <w:pPr>
        <w:pStyle w:val="ListParagraph"/>
        <w:numPr>
          <w:ilvl w:val="0"/>
          <w:numId w:val="3"/>
        </w:numPr>
        <w:spacing w:after="60" w:before="60"/>
      </w:pPr>
      <w:r>
        <w:rPr>
          <w:rFonts w:ascii="Arial" w:cs="Arial" w:eastAsia="Arial" w:hAnsi="Arial"/>
          <w:sz w:val="20"/>
          <w:szCs w:val="20"/>
        </w:rPr>
        <w:t xml:space="preserve">THE project SHALL publish a reference total cost of ownership (TCO) model for a representative deployment scenario (1 tenant, 100,000 requests/month, GDPR compliance preset active), including: infrastructure cost estimate, Enterprise licence cost estimate, and estimated internal implementation effort in person-days.</w:t>
      </w:r>
    </w:p>
    <w:p>
      <w:pPr>
        <w:pStyle w:val="ListParagraph"/>
        <w:numPr>
          <w:ilvl w:val="0"/>
          <w:numId w:val="3"/>
        </w:numPr>
        <w:spacing w:after="60" w:before="60"/>
      </w:pPr>
      <w:r>
        <w:rPr>
          <w:rFonts w:ascii="Arial" w:cs="Arial" w:eastAsia="Arial" w:hAnsi="Arial"/>
          <w:sz w:val="20"/>
          <w:szCs w:val="20"/>
        </w:rPr>
        <w:t xml:space="preserve">THE Gateway SHALL support licence key validation at startup for Enterprise and Voice tiers: WHEN a licence key is not present or is expired, THE Gateway SHALL operate in Community mode (Phase 1 features only) and SHALL log a structured warning identifying the missing or expired licence.</w:t>
      </w:r>
    </w:p>
    <w:p>
      <w:pPr>
        <w:pBdr>
          <w:bottom w:val="single" w:color="BFCFDF" w:sz="4" w:space="2"/>
        </w:pBdr>
        <w:spacing w:after="120" w:before="120"/>
      </w:pPr>
    </w:p>
    <w:p>
      <w:r>
        <w:br w:type="page"/>
      </w:r>
    </w:p>
    <w:p>
      <w:pPr>
        <w:pStyle w:val="Heading1"/>
        <w:pBdr>
          <w:bottom w:val="single" w:color="1B3A6B" w:sz="8" w:space="4"/>
        </w:pBdr>
        <w:spacing w:after="120" w:before="480"/>
      </w:pPr>
      <w:r>
        <w:rPr>
          <w:rFonts w:ascii="Arial" w:cs="Arial" w:eastAsia="Arial" w:hAnsi="Arial"/>
          <w:b/>
          <w:bCs/>
          <w:color w:val="1B3A6B"/>
          <w:sz w:val="32"/>
          <w:szCs w:val="32"/>
        </w:rPr>
        <w:t xml:space="preserve">Phase 3 — Sovereign Voice AI</w:t>
      </w:r>
    </w:p>
    <w:p>
      <w:pPr>
        <w:spacing w:after="100" w:before="60"/>
      </w:pPr>
      <w:r>
        <w:rPr>
          <w:rFonts w:ascii="Arial" w:cs="Arial" w:eastAsia="Arial" w:hAnsi="Arial"/>
          <w:i/>
          <w:iCs/>
          <w:color w:val="5A6B7A"/>
          <w:sz w:val="18"/>
          <w:szCs w:val="18"/>
        </w:rPr>
        <w:t xml:space="preserve">Requirements 44–48 define the AnonReq Voice module. Phase 3 is available under the AnonReq Voice commercial licence only and requires Phase 1 and Phase 2 to be fully operational. No Phase 3 feature shall be shipped before all Phase 2 requirements are met.</w:t>
      </w:r>
    </w:p>
    <w:p>
      <w:pPr>
        <w:spacing w:before="100"/>
      </w:pPr>
    </w:p>
    <w:p>
      <w:pPr>
        <w:pStyle w:val="Heading2"/>
        <w:spacing w:after="80" w:before="360"/>
      </w:pPr>
      <w:r>
        <w:rPr>
          <w:rFonts w:ascii="Arial" w:cs="Arial" w:eastAsia="Arial" w:hAnsi="Arial"/>
          <w:b/>
          <w:bCs/>
          <w:color w:val="2E6DA4"/>
          <w:sz w:val="26"/>
          <w:szCs w:val="26"/>
        </w:rPr>
        <w:t xml:space="preserve">Requirement 44: Voice AI Gateway — Core STT/TTS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an enterprise user, I want to interact with any configured LLM provider using spoken language in my native tongue, with my voice input and the AI's spoken response both processed within AnonReq's secure anonymisation perimeter, so that no sensitive data leaves the institution as either text or audio.</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Voice_Engine SHALL expose a WebSocket endpoint at /v1/voice that accepts real-time audio input streams encoded in one of: PCM 16-bit 16kHz mono, Opus 48kHz stereo, or WebM/Opus, and returns real-time audio output streams in the same or a configured target encoding.</w:t>
      </w:r>
    </w:p>
    <w:p>
      <w:pPr>
        <w:pStyle w:val="ListParagraph"/>
        <w:numPr>
          <w:ilvl w:val="0"/>
          <w:numId w:val="3"/>
        </w:numPr>
        <w:spacing w:after="60" w:before="60"/>
      </w:pPr>
      <w:r>
        <w:rPr>
          <w:rFonts w:ascii="Arial" w:cs="Arial" w:eastAsia="Arial" w:hAnsi="Arial"/>
          <w:sz w:val="20"/>
          <w:szCs w:val="20"/>
        </w:rPr>
        <w:t xml:space="preserve">WHEN audio input is received, THE Voice_Engine SHALL perform speech-to-text (STT) transcription using a self-hosted STT model (e.g., Whisper or equivalent) that runs entirely within the customer's secure perimeter. No audio data SHALL be forwarded to any external STT service.</w:t>
      </w:r>
    </w:p>
    <w:p>
      <w:pPr>
        <w:pStyle w:val="ListParagraph"/>
        <w:numPr>
          <w:ilvl w:val="0"/>
          <w:numId w:val="3"/>
        </w:numPr>
        <w:spacing w:after="60" w:before="60"/>
      </w:pPr>
      <w:r>
        <w:rPr>
          <w:rFonts w:ascii="Arial" w:cs="Arial" w:eastAsia="Arial" w:hAnsi="Arial"/>
          <w:sz w:val="20"/>
          <w:szCs w:val="20"/>
        </w:rPr>
        <w:t xml:space="preserve">WHEN transcription is complete, THE Voice_Engine SHALL pass the transcribed text through the standard AnonReq anonymisation pipeline (Detection_Engine → Tokenization_Engine → Provider_Adapter) before forwarding to the configured LLM provider. The same fail-secure guarantees defined in Requirement 2 SHALL apply to voice requests.</w:t>
      </w:r>
    </w:p>
    <w:p>
      <w:pPr>
        <w:pStyle w:val="ListParagraph"/>
        <w:numPr>
          <w:ilvl w:val="0"/>
          <w:numId w:val="3"/>
        </w:numPr>
        <w:spacing w:after="60" w:before="60"/>
      </w:pPr>
      <w:r>
        <w:rPr>
          <w:rFonts w:ascii="Arial" w:cs="Arial" w:eastAsia="Arial" w:hAnsi="Arial"/>
          <w:sz w:val="20"/>
          <w:szCs w:val="20"/>
        </w:rPr>
        <w:t xml:space="preserve">WHEN the LLM provider returns a text response, THE Voice_Engine SHALL pass the response through the Restoration_Engine (restoring all Tokens to original values), then synthesise the restored text to speech using a self-hosted TTS model. No text response SHALL be forwarded to any external TTS service.</w:t>
      </w:r>
    </w:p>
    <w:p>
      <w:pPr>
        <w:pStyle w:val="ListParagraph"/>
        <w:numPr>
          <w:ilvl w:val="0"/>
          <w:numId w:val="3"/>
        </w:numPr>
        <w:spacing w:after="60" w:before="60"/>
      </w:pPr>
      <w:r>
        <w:rPr>
          <w:rFonts w:ascii="Arial" w:cs="Arial" w:eastAsia="Arial" w:hAnsi="Arial"/>
          <w:sz w:val="20"/>
          <w:szCs w:val="20"/>
        </w:rPr>
        <w:t xml:space="preserve">THE Voice_Engine SHALL support a configurable input silence timeout (default: 3 seconds of silence detected via VAD) after which the STT pipeline treats the audio segment as complete and submits the transcription to the anonymisation pipeline.</w:t>
      </w:r>
    </w:p>
    <w:p>
      <w:pPr>
        <w:pStyle w:val="ListParagraph"/>
        <w:numPr>
          <w:ilvl w:val="0"/>
          <w:numId w:val="3"/>
        </w:numPr>
        <w:spacing w:after="60" w:before="60"/>
      </w:pPr>
      <w:r>
        <w:rPr>
          <w:rFonts w:ascii="Arial" w:cs="Arial" w:eastAsia="Arial" w:hAnsi="Arial"/>
          <w:sz w:val="20"/>
          <w:szCs w:val="20"/>
        </w:rPr>
        <w:t xml:space="preserve">THE Voice_Engine SHALL support barge-in: WHEN the user begins speaking while the TTS output is playing, THE Voice_Engine SHALL halt TTS playback and begin processing the new audio input.</w:t>
      </w:r>
    </w:p>
    <w:p>
      <w:pPr>
        <w:pStyle w:val="ListParagraph"/>
        <w:numPr>
          <w:ilvl w:val="0"/>
          <w:numId w:val="3"/>
        </w:numPr>
        <w:spacing w:after="60" w:before="60"/>
      </w:pPr>
      <w:r>
        <w:rPr>
          <w:rFonts w:ascii="Arial" w:cs="Arial" w:eastAsia="Arial" w:hAnsi="Arial"/>
          <w:sz w:val="20"/>
          <w:szCs w:val="20"/>
        </w:rPr>
        <w:t xml:space="preserve">THE Voice_Engine SHALL enforce the same tenant isolation, authentication, rate limiting, and audit logging requirements as defined for text requests in Phase 1 and Phase 2, with audio session metadata (session duration, STT latency, TTS latency) included in the audit log entry.</w:t>
      </w:r>
    </w:p>
    <w:p>
      <w:pPr>
        <w:pStyle w:val="ListParagraph"/>
        <w:numPr>
          <w:ilvl w:val="0"/>
          <w:numId w:val="3"/>
        </w:numPr>
        <w:spacing w:after="60" w:before="60"/>
      </w:pPr>
      <w:r>
        <w:rPr>
          <w:rFonts w:ascii="Arial" w:cs="Arial" w:eastAsia="Arial" w:hAnsi="Arial"/>
          <w:sz w:val="20"/>
          <w:szCs w:val="20"/>
        </w:rPr>
        <w:t xml:space="preserve">THE Voice_Engine SHALL support voice session recording opt-in: WHEN a tenant configures voice session recording, THE Voice_Engine SHALL store encrypted audio transcripts (not raw audio) for the configured retention period. Raw audio SHALL NEVER be stored.</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45: Native-Language Emotional Prosody and Voice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financial services relationship manager, I want the AI voice to speak to clients in their native language with natural, emotionally appropriate intonation rather than robotic monotone delivery, so that AI-assisted client interactions are indistinguishable in quality from human agent calls.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Voice_Engine SHALL support emotionally expressive TTS synthesis in at minimum the following languages: English (UK and US), German, French, Dutch, Spanish (Castilian), Italian, Arabic (Modern Standard and Gulf dialect), Swedish, and Portuguese (Brazilian).</w:t>
      </w:r>
    </w:p>
    <w:p>
      <w:pPr>
        <w:pStyle w:val="ListParagraph"/>
        <w:numPr>
          <w:ilvl w:val="0"/>
          <w:numId w:val="3"/>
        </w:numPr>
        <w:spacing w:after="60" w:before="60"/>
      </w:pPr>
      <w:r>
        <w:rPr>
          <w:rFonts w:ascii="Arial" w:cs="Arial" w:eastAsia="Arial" w:hAnsi="Arial"/>
          <w:sz w:val="20"/>
          <w:szCs w:val="20"/>
        </w:rPr>
        <w:t xml:space="preserve">THE Voice_Engine SHALL support prosody control parameters configurable per tenant and per session: speaking rate (0.5x – 2.0x), pitch shift (–6 to +6 semitones), energy level (0.5 – 2.0x), and emotion preset (neutral, professional, warm, reassuring, urgent). Prosody parameters SHALL be passable in the WebSocket session initialisation message.</w:t>
      </w:r>
    </w:p>
    <w:p>
      <w:pPr>
        <w:pStyle w:val="ListParagraph"/>
        <w:numPr>
          <w:ilvl w:val="0"/>
          <w:numId w:val="3"/>
        </w:numPr>
        <w:spacing w:after="60" w:before="60"/>
      </w:pPr>
      <w:r>
        <w:rPr>
          <w:rFonts w:ascii="Arial" w:cs="Arial" w:eastAsia="Arial" w:hAnsi="Arial"/>
          <w:sz w:val="20"/>
          <w:szCs w:val="20"/>
        </w:rPr>
        <w:t xml:space="preserve">THE Voice_Engine SHALL use an emotion-aware TTS model that infers emotional context from the restored text response and modulates prosody accordingly (e.g., applying a calmer, more measured tone for responses containing high-urgency financial information, and a warmer tone for responses containing client service language). The emotion inference model SHALL run self-hosted within the customer's secure perimeter.</w:t>
      </w:r>
    </w:p>
    <w:p>
      <w:pPr>
        <w:pStyle w:val="ListParagraph"/>
        <w:numPr>
          <w:ilvl w:val="0"/>
          <w:numId w:val="3"/>
        </w:numPr>
        <w:spacing w:after="60" w:before="60"/>
      </w:pPr>
      <w:r>
        <w:rPr>
          <w:rFonts w:ascii="Arial" w:cs="Arial" w:eastAsia="Arial" w:hAnsi="Arial"/>
          <w:sz w:val="20"/>
          <w:szCs w:val="20"/>
        </w:rPr>
        <w:t xml:space="preserve">THE Voice_Engine SHALL support voice cloning or persona assignment: a tenant administrator SHALL be able to configure a named voice persona (sampled from a library of licensed synthetic voices) for each deployment context (e.g., 'Client Services', 'Compliance Alerts'). Custom voice cloning from real human audio SHALL require explicit written consent documentation to be uploaded and approved by the tenant administrator before activation.</w:t>
      </w:r>
    </w:p>
    <w:p>
      <w:pPr>
        <w:pStyle w:val="ListParagraph"/>
        <w:numPr>
          <w:ilvl w:val="0"/>
          <w:numId w:val="3"/>
        </w:numPr>
        <w:spacing w:after="60" w:before="60"/>
      </w:pPr>
      <w:r>
        <w:rPr>
          <w:rFonts w:ascii="Arial" w:cs="Arial" w:eastAsia="Arial" w:hAnsi="Arial"/>
          <w:sz w:val="20"/>
          <w:szCs w:val="20"/>
        </w:rPr>
        <w:t xml:space="preserve">THE Voice_Engine's TTS synthesis latency — measured from receipt of the first text token from the Restoration_Engine to emission of the first audio byte to the client — SHALL be no greater than 300ms at the 95th percentile for responses of 50 words or fewer, when running on the minimum recommended hardware specification.</w:t>
      </w:r>
    </w:p>
    <w:p>
      <w:pPr>
        <w:pStyle w:val="ListParagraph"/>
        <w:numPr>
          <w:ilvl w:val="0"/>
          <w:numId w:val="3"/>
        </w:numPr>
        <w:spacing w:after="60" w:before="60"/>
      </w:pPr>
      <w:r>
        <w:rPr>
          <w:rFonts w:ascii="Arial" w:cs="Arial" w:eastAsia="Arial" w:hAnsi="Arial"/>
          <w:sz w:val="20"/>
          <w:szCs w:val="20"/>
        </w:rPr>
        <w:t xml:space="preserve">THE Voice_Engine SHALL support streaming TTS: text tokens SHALL be synthesised and streamed to the client as they are restored, rather than waiting for the full LLM response before beginning synthesis, minimising perceived latency for the end user.</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46: Voice PII Detection and Anonymisation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Data Protection Officer, I want voice interactions to receive the same PII anonymisation guarantees as text interactions, with the transcription itself never stored or logged in raw form.</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WHEN a voice session transcription is produced by the STT component, THE Voice_Engine SHALL immediately pass the transcription to THE Detection_Engine before any further processing. The raw transcription SHALL NOT be logged, stored, or forwarded anywhere before anonymisation is complete.</w:t>
      </w:r>
    </w:p>
    <w:p>
      <w:pPr>
        <w:pStyle w:val="ListParagraph"/>
        <w:numPr>
          <w:ilvl w:val="0"/>
          <w:numId w:val="3"/>
        </w:numPr>
        <w:spacing w:after="60" w:before="60"/>
      </w:pPr>
      <w:r>
        <w:rPr>
          <w:rFonts w:ascii="Arial" w:cs="Arial" w:eastAsia="Arial" w:hAnsi="Arial"/>
          <w:sz w:val="20"/>
          <w:szCs w:val="20"/>
        </w:rPr>
        <w:t xml:space="preserve">THE Detection_Engine SHALL apply the same detection pipeline (regex + NER, configured compliance preset, configured locale) to voice transcriptions as to text requests, with the same fail-secure guarantees: IF detection fails, the transcription SHALL NOT be forwarded to the LLM provider.</w:t>
      </w:r>
    </w:p>
    <w:p>
      <w:pPr>
        <w:pStyle w:val="ListParagraph"/>
        <w:numPr>
          <w:ilvl w:val="0"/>
          <w:numId w:val="3"/>
        </w:numPr>
        <w:spacing w:after="60" w:before="60"/>
      </w:pPr>
      <w:r>
        <w:rPr>
          <w:rFonts w:ascii="Arial" w:cs="Arial" w:eastAsia="Arial" w:hAnsi="Arial"/>
          <w:sz w:val="20"/>
          <w:szCs w:val="20"/>
        </w:rPr>
        <w:t xml:space="preserve">THE Voice_Engine SHALL support a voice-specific entity type SPOKEN_NAME that detects names spoken phonetically in audio and matches them against a customer-provided pronunciation dictionary, enabling detection of names that may be transcribed with variable spelling.</w:t>
      </w:r>
    </w:p>
    <w:p>
      <w:pPr>
        <w:pStyle w:val="ListParagraph"/>
        <w:numPr>
          <w:ilvl w:val="0"/>
          <w:numId w:val="3"/>
        </w:numPr>
        <w:spacing w:after="60" w:before="60"/>
      </w:pPr>
      <w:r>
        <w:rPr>
          <w:rFonts w:ascii="Arial" w:cs="Arial" w:eastAsia="Arial" w:hAnsi="Arial"/>
          <w:sz w:val="20"/>
          <w:szCs w:val="20"/>
        </w:rPr>
        <w:t xml:space="preserve">THE Audit_Logger SHALL log voice session metadata including: session duration (seconds), STT latency (ms), TTS latency (ms), entity_counts (same schema as text audit log), and compliance_preset — but SHALL NOT log any transcription text, raw audio, or TTS output.</w:t>
      </w:r>
    </w:p>
    <w:p>
      <w:pPr>
        <w:pStyle w:val="ListParagraph"/>
        <w:numPr>
          <w:ilvl w:val="0"/>
          <w:numId w:val="3"/>
        </w:numPr>
        <w:spacing w:after="60" w:before="60"/>
      </w:pPr>
      <w:r>
        <w:rPr>
          <w:rFonts w:ascii="Arial" w:cs="Arial" w:eastAsia="Arial" w:hAnsi="Arial"/>
          <w:sz w:val="20"/>
          <w:szCs w:val="20"/>
        </w:rPr>
        <w:t xml:space="preserve">IF STT transcription quality falls below a configurable confidence threshold (default: 0.80 word-level confidence), THE Voice_Engine SHALL flag the session in the audit log as LOW_CONFIDENCE_TRANSCRIPTION and SHALL apply a conservative detection policy (lower Confidence_Threshold for all entity types) to reduce the risk of undetected PII in low-quality transcriptions.</w:t>
      </w:r>
    </w:p>
    <w:p>
      <w:pPr>
        <w:pStyle w:val="ListParagraph"/>
        <w:numPr>
          <w:ilvl w:val="0"/>
          <w:numId w:val="3"/>
        </w:numPr>
        <w:spacing w:after="60" w:before="60"/>
      </w:pPr>
      <w:r>
        <w:rPr>
          <w:rFonts w:ascii="Arial" w:cs="Arial" w:eastAsia="Arial" w:hAnsi="Arial"/>
          <w:sz w:val="20"/>
          <w:szCs w:val="20"/>
        </w:rPr>
        <w:t xml:space="preserve">THE Voice_Engine SHALL support redaction of detected entities in the audio output: WHEN the Restoration_Engine encounters an unmatched Token in the LLM response (see Requirement 1, Criterion 7), THE Voice_Engine SHALL synthesise the phrase 'information redacted' in the configured language in place of the unmatched Token, rather than speaking the Token string aloud.</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47: Voice Infrastructure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DevOps engineer deploying AnonReq Voice, I want the voice AI components to deploy alongside the existing gateway stack with documented hardware requirements and production-ready operational controls.</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Voice_Engine SHALL ship as a Docker Compose service extension (a docker-compose.voice.yml override file) that adds the STT service, TTS service, and Voice_Engine WebSocket proxy to the existing AnonReq stack, deployable with docker compose -f docker-compose.yml -f docker-compose.voice.yml up.</w:t>
      </w:r>
    </w:p>
    <w:p>
      <w:pPr>
        <w:pStyle w:val="ListParagraph"/>
        <w:numPr>
          <w:ilvl w:val="0"/>
          <w:numId w:val="3"/>
        </w:numPr>
        <w:spacing w:after="60" w:before="60"/>
      </w:pPr>
      <w:r>
        <w:rPr>
          <w:rFonts w:ascii="Arial" w:cs="Arial" w:eastAsia="Arial" w:hAnsi="Arial"/>
          <w:sz w:val="20"/>
          <w:szCs w:val="20"/>
        </w:rPr>
        <w:t xml:space="preserve">THE Voice_Engine SHALL publish minimum hardware specifications for the combined stack: CPU-only inference (minimum: 8-core CPU, 32 GB RAM, 100 GB NVMe SSD) and GPU-accelerated inference (minimum: NVIDIA A10G or equivalent with 24 GB VRAM, 16-core CPU, 64 GB RAM). GPU-accelerated deployment SHALL be the recommended production configuration for meeting the 300ms TTS latency SLA defined in Requirement 45.</w:t>
      </w:r>
    </w:p>
    <w:p>
      <w:pPr>
        <w:pStyle w:val="ListParagraph"/>
        <w:numPr>
          <w:ilvl w:val="0"/>
          <w:numId w:val="3"/>
        </w:numPr>
        <w:spacing w:after="60" w:before="60"/>
      </w:pPr>
      <w:r>
        <w:rPr>
          <w:rFonts w:ascii="Arial" w:cs="Arial" w:eastAsia="Arial" w:hAnsi="Arial"/>
          <w:sz w:val="20"/>
          <w:szCs w:val="20"/>
        </w:rPr>
        <w:t xml:space="preserve">THE STT model (e.g., Whisper large-v3 or equivalent) and TTS model SHALL be self-hosted within the customer's perimeter. The docker-compose.voice.yml SHALL include model download verification steps that validate model checksums before the Voice_Engine starts serving traffic.</w:t>
      </w:r>
    </w:p>
    <w:p>
      <w:pPr>
        <w:pStyle w:val="ListParagraph"/>
        <w:numPr>
          <w:ilvl w:val="0"/>
          <w:numId w:val="3"/>
        </w:numPr>
        <w:spacing w:after="60" w:before="60"/>
      </w:pPr>
      <w:r>
        <w:rPr>
          <w:rFonts w:ascii="Arial" w:cs="Arial" w:eastAsia="Arial" w:hAnsi="Arial"/>
          <w:sz w:val="20"/>
          <w:szCs w:val="20"/>
        </w:rPr>
        <w:t xml:space="preserve">THE Voice_Engine SHALL expose /health and /metrics endpoints consistent with the format defined in Requirements 2 and 13, with the following additional metrics: anonreq_voice_sessions_total (counter), anonreq_stt_latency_seconds (histogram), anonreq_tts_latency_seconds (histogram), and anonreq_voice_pii_detected_total (counter, labelled by entity type).</w:t>
      </w:r>
    </w:p>
    <w:p>
      <w:pPr>
        <w:pStyle w:val="ListParagraph"/>
        <w:numPr>
          <w:ilvl w:val="0"/>
          <w:numId w:val="3"/>
        </w:numPr>
        <w:spacing w:after="60" w:before="60"/>
      </w:pPr>
      <w:r>
        <w:rPr>
          <w:rFonts w:ascii="Arial" w:cs="Arial" w:eastAsia="Arial" w:hAnsi="Arial"/>
          <w:sz w:val="20"/>
          <w:szCs w:val="20"/>
        </w:rPr>
        <w:t xml:space="preserve">THE Voice_Engine SHALL support Kubernetes deployment using a Helm chart extension to the main AnonReq Helm chart, with GPU node affinity configuration for the STT and TTS deployments.</w:t>
      </w:r>
    </w:p>
    <w:p>
      <w:pPr>
        <w:pStyle w:val="ListParagraph"/>
        <w:numPr>
          <w:ilvl w:val="0"/>
          <w:numId w:val="3"/>
        </w:numPr>
        <w:spacing w:after="60" w:before="60"/>
      </w:pPr>
      <w:r>
        <w:rPr>
          <w:rFonts w:ascii="Arial" w:cs="Arial" w:eastAsia="Arial" w:hAnsi="Arial"/>
          <w:sz w:val="20"/>
          <w:szCs w:val="20"/>
        </w:rPr>
        <w:t xml:space="preserve">THE Voice_Engine SHALL support WebRTC as an alternative transport to WebSocket for browser-based voice clients, enabling deployment in web application contexts without requiring a custom audio client.</w:t>
      </w:r>
    </w:p>
    <w:p>
      <w:pPr>
        <w:pBdr>
          <w:bottom w:val="single" w:color="BFCFDF" w:sz="4" w:space="2"/>
        </w:pBdr>
        <w:spacing w:after="120" w:before="120"/>
      </w:pPr>
    </w:p>
    <w:p>
      <w:pPr>
        <w:pStyle w:val="Heading2"/>
        <w:spacing w:after="80" w:before="360"/>
      </w:pPr>
      <w:r>
        <w:rPr>
          <w:rFonts w:ascii="Arial" w:cs="Arial" w:eastAsia="Arial" w:hAnsi="Arial"/>
          <w:b/>
          <w:bCs/>
          <w:color w:val="2E6DA4"/>
          <w:sz w:val="26"/>
          <w:szCs w:val="26"/>
        </w:rPr>
        <w:t xml:space="preserve">Requirement 48: Voice AI Compliance and Regulatory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9E8F5" w:val="clear"/>
            <w:tcMar>
              <w:top w:type="dxa" w:w="120"/>
              <w:left w:type="dxa" w:w="180"/>
              <w:bottom w:type="dxa" w:w="120"/>
              <w:right w:type="dxa" w:w="180"/>
            </w:tcMar>
          </w:tcPr>
          <w:p>
            <w:r>
              <w:rPr>
                <w:rFonts w:ascii="Arial" w:cs="Arial" w:eastAsia="Arial" w:hAnsi="Arial"/>
                <w:b/>
                <w:bCs/>
                <w:color w:val="2E6DA4"/>
                <w:sz w:val="18"/>
                <w:szCs w:val="18"/>
              </w:rPr>
              <w:t xml:space="preserve">User Story:  </w:t>
            </w:r>
            <w:r>
              <w:rPr>
                <w:rFonts w:ascii="Arial" w:cs="Arial" w:eastAsia="Arial" w:hAnsi="Arial"/>
                <w:i/>
                <w:iCs/>
                <w:color w:val="000000"/>
                <w:sz w:val="18"/>
                <w:szCs w:val="18"/>
              </w:rPr>
              <w:t xml:space="preserve">As a compliance officer, I want the Voice AI module to meet the same regulatory standards as the text gateway, with additional controls for the specific obligations that apply to voice-based AI interactions under the EU AI Act and GDPR.</w:t>
            </w:r>
          </w:p>
        </w:tc>
      </w:tr>
    </w:tbl>
    <w:p>
      <w:pPr>
        <w:spacing w:after="40" w:before="120"/>
      </w:pPr>
      <w:r>
        <w:rPr>
          <w:rFonts w:ascii="Arial" w:cs="Arial" w:eastAsia="Arial" w:hAnsi="Arial"/>
          <w:b/>
          <w:bCs/>
          <w:color w:val="1B3A6B"/>
          <w:sz w:val="20"/>
          <w:szCs w:val="20"/>
        </w:rPr>
        <w:t xml:space="preserve">Acceptance Criteria</w:t>
      </w:r>
    </w:p>
    <w:p>
      <w:pPr>
        <w:pStyle w:val="ListParagraph"/>
        <w:numPr>
          <w:ilvl w:val="0"/>
          <w:numId w:val="3"/>
        </w:numPr>
        <w:spacing w:after="60" w:before="60"/>
      </w:pPr>
      <w:r>
        <w:rPr>
          <w:rFonts w:ascii="Arial" w:cs="Arial" w:eastAsia="Arial" w:hAnsi="Arial"/>
          <w:sz w:val="20"/>
          <w:szCs w:val="20"/>
        </w:rPr>
        <w:t xml:space="preserve">THE Voice_Engine SHALL support disclosure of AI identity to voice session participants: at the start of each voice session, THE Voice_Engine SHALL play a configurable disclosure message (in the configured session language) informing the participant that they are interacting with an AI system, in compliance with EU AI Act Article 52(1).</w:t>
      </w:r>
    </w:p>
    <w:p>
      <w:pPr>
        <w:pStyle w:val="ListParagraph"/>
        <w:numPr>
          <w:ilvl w:val="0"/>
          <w:numId w:val="3"/>
        </w:numPr>
        <w:spacing w:after="60" w:before="60"/>
      </w:pPr>
      <w:r>
        <w:rPr>
          <w:rFonts w:ascii="Arial" w:cs="Arial" w:eastAsia="Arial" w:hAnsi="Arial"/>
          <w:sz w:val="20"/>
          <w:szCs w:val="20"/>
        </w:rPr>
        <w:t xml:space="preserve">THE Voice_Engine SHALL support recording consent capture: WHEN voice session recording is enabled (see Requirement 44, Criterion 8), THE Voice_Engine SHALL play a configurable consent prompt before recording begins and SHALL record the participant's spoken consent response (yes/no) as a consent event in the audit log. Recording SHALL NOT begin until consent is recorded as affirmative.</w:t>
      </w:r>
    </w:p>
    <w:p>
      <w:pPr>
        <w:pStyle w:val="ListParagraph"/>
        <w:numPr>
          <w:ilvl w:val="0"/>
          <w:numId w:val="3"/>
        </w:numPr>
        <w:spacing w:after="60" w:before="60"/>
      </w:pPr>
      <w:r>
        <w:rPr>
          <w:rFonts w:ascii="Arial" w:cs="Arial" w:eastAsia="Arial" w:hAnsi="Arial"/>
          <w:sz w:val="20"/>
          <w:szCs w:val="20"/>
        </w:rPr>
        <w:t xml:space="preserve">THE Voice_Engine SHALL enforce the same data sovereignty and geographic routing controls defined in Requirement 22 for all STT and TTS processing: the STT and TTS models SHALL run within the same geographic boundary as the Gateway, and no audio or transcription data SHALL be transmitted to any component outside the approved geographic region.</w:t>
      </w:r>
    </w:p>
    <w:p>
      <w:pPr>
        <w:pStyle w:val="ListParagraph"/>
        <w:numPr>
          <w:ilvl w:val="0"/>
          <w:numId w:val="3"/>
        </w:numPr>
        <w:spacing w:after="60" w:before="60"/>
      </w:pPr>
      <w:r>
        <w:rPr>
          <w:rFonts w:ascii="Arial" w:cs="Arial" w:eastAsia="Arial" w:hAnsi="Arial"/>
          <w:sz w:val="20"/>
          <w:szCs w:val="20"/>
        </w:rPr>
        <w:t xml:space="preserve">THE Voice_Engine's audit log entries SHALL include a voice_disclosure_played field (boolean) and a consent_captured field (boolean, null if recording is disabled), enabling compliance officers to verify that disclosure and consent obligations were met for every voice session.</w:t>
      </w:r>
    </w:p>
    <w:p>
      <w:pPr>
        <w:pStyle w:val="ListParagraph"/>
        <w:numPr>
          <w:ilvl w:val="0"/>
          <w:numId w:val="3"/>
        </w:numPr>
        <w:spacing w:after="60" w:before="60"/>
      </w:pPr>
      <w:r>
        <w:rPr>
          <w:rFonts w:ascii="Arial" w:cs="Arial" w:eastAsia="Arial" w:hAnsi="Arial"/>
          <w:sz w:val="20"/>
          <w:szCs w:val="20"/>
        </w:rPr>
        <w:t xml:space="preserve">THE Voice_Engine SHALL support voice-specific data subject rights: a named administrator SHALL be able to retrieve and delete all audit metadata associated with a voice session identified by session_id or by a date range, in support of GDPR Article 17 right to erasure requests, subject to active legal hold (see Requirement 37).</w:t>
      </w:r>
    </w:p>
    <w:p>
      <w:pPr>
        <w:pBdr>
          <w:bottom w:val="single" w:color="BFCFDF" w:sz="4" w:space="2"/>
        </w:pBdr>
        <w:spacing w:after="120" w:before="120"/>
      </w:pPr>
    </w:p>
    <w:p>
      <w:r>
        <w:br w:type="page"/>
      </w:r>
    </w:p>
    <w:p>
      <w:pPr>
        <w:pStyle w:val="Heading1"/>
        <w:pBdr>
          <w:bottom w:val="single" w:color="1B3A6B" w:sz="8" w:space="4"/>
        </w:pBdr>
        <w:spacing w:after="120" w:before="480"/>
      </w:pPr>
      <w:r>
        <w:rPr>
          <w:rFonts w:ascii="Arial" w:cs="Arial" w:eastAsia="Arial" w:hAnsi="Arial"/>
          <w:b/>
          <w:bCs/>
          <w:color w:val="1B3A6B"/>
          <w:sz w:val="32"/>
          <w:szCs w:val="32"/>
        </w:rPr>
        <w:t xml:space="preserve">Commercial Model Summary</w:t>
      </w:r>
    </w:p>
    <w:p>
      <w:pPr>
        <w:spacing w:after="80" w:before="80"/>
      </w:pPr>
      <w:r>
        <w:rPr>
          <w:rFonts w:ascii="Arial" w:cs="Arial" w:eastAsia="Arial" w:hAnsi="Arial"/>
          <w:color w:val="000000"/>
          <w:sz w:val="20"/>
          <w:szCs w:val="20"/>
        </w:rPr>
        <w:t xml:space="preserve">This section summarises the commercial structure of AnonReq for investor and enterprise buyer reference. Detailed pricing is available under NDA.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2E6DA4" w:sz="4"/>
              <w:left w:val="single" w:color="2E6DA4" w:sz="4"/>
              <w:bottom w:val="single" w:color="2E6DA4" w:sz="4"/>
              <w:right w:val="single" w:color="2E6DA4" w:sz="4"/>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w:r>
          </w:p>
        </w:tc>
        <w:tc>
          <w:tcPr>
            <w:tcW w:type="dxa" w:w="2380"/>
            <w:tcBorders>
              <w:top w:val="single" w:color="2E6DA4" w:sz="4"/>
              <w:left w:val="single" w:color="2E6DA4" w:sz="4"/>
              <w:bottom w:val="single" w:color="2E6DA4" w:sz="4"/>
              <w:right w:val="single" w:color="2E6DA4" w:sz="4"/>
            </w:tcBorders>
            <w:shd w:fill="2E6DA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Community</w:t>
            </w:r>
          </w:p>
        </w:tc>
        <w:tc>
          <w:tcPr>
            <w:tcW w:type="dxa" w:w="2380"/>
            <w:tcBorders>
              <w:top w:val="single" w:color="2E6DA4" w:sz="4"/>
              <w:left w:val="single" w:color="2E6DA4" w:sz="4"/>
              <w:bottom w:val="single" w:color="2E6DA4" w:sz="4"/>
              <w:right w:val="single" w:color="2E6DA4" w:sz="4"/>
            </w:tcBorders>
            <w:shd w:fill="2E6DA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Enterprise</w:t>
            </w:r>
          </w:p>
        </w:tc>
        <w:tc>
          <w:tcPr>
            <w:tcW w:type="dxa" w:w="2400"/>
            <w:tcBorders>
              <w:top w:val="single" w:color="2E6DA4" w:sz="4"/>
              <w:left w:val="single" w:color="2E6DA4" w:sz="4"/>
              <w:bottom w:val="single" w:color="2E6DA4" w:sz="4"/>
              <w:right w:val="single" w:color="2E6DA4" w:sz="4"/>
            </w:tcBorders>
            <w:shd w:fill="2E6DA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Voice</w:t>
            </w:r>
          </w:p>
        </w:tc>
      </w:tr>
      <w:tr>
        <w:tc>
          <w:tcPr>
            <w:tcW w:type="dxa" w:w="220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left"/>
            </w:pPr>
            <w:r>
              <w:rPr>
                <w:rFonts w:ascii="Arial" w:cs="Arial" w:eastAsia="Arial" w:hAnsi="Arial"/>
                <w:b/>
                <w:bCs/>
                <w:color w:val="1B3A6B"/>
                <w:sz w:val="18"/>
                <w:szCs w:val="18"/>
              </w:rPr>
              <w:t xml:space="preserve">Licence</w:t>
            </w:r>
          </w:p>
        </w:tc>
        <w:tc>
          <w:tcPr>
            <w:tcW w:type="dxa" w:w="238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Apache 2.0</w:t>
            </w:r>
          </w:p>
        </w:tc>
        <w:tc>
          <w:tcPr>
            <w:tcW w:type="dxa" w:w="238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Commercial</w:t>
            </w:r>
          </w:p>
        </w:tc>
        <w:tc>
          <w:tcPr>
            <w:tcW w:type="dxa" w:w="240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Commercial</w:t>
            </w:r>
          </w:p>
        </w:tc>
      </w:tr>
      <w:tr>
        <w:tc>
          <w:tcPr>
            <w:tcW w:type="dxa" w:w="22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Phase 1 Core Gateway</w:t>
            </w:r>
          </w:p>
        </w:tc>
        <w:tc>
          <w:tcPr>
            <w:tcW w:type="dxa" w:w="23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23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24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20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left"/>
            </w:pPr>
            <w:r>
              <w:rPr>
                <w:rFonts w:ascii="Arial" w:cs="Arial" w:eastAsia="Arial" w:hAnsi="Arial"/>
                <w:b/>
                <w:bCs/>
                <w:color w:val="1B3A6B"/>
                <w:sz w:val="18"/>
                <w:szCs w:val="18"/>
              </w:rPr>
              <w:t xml:space="preserve">Phase 2 Enterprise Controls</w:t>
            </w:r>
          </w:p>
        </w:tc>
        <w:tc>
          <w:tcPr>
            <w:tcW w:type="dxa" w:w="238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238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240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2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Phase 3 Voice AI</w:t>
            </w:r>
          </w:p>
        </w:tc>
        <w:tc>
          <w:tcPr>
            <w:tcW w:type="dxa" w:w="23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23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24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220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left"/>
            </w:pPr>
            <w:r>
              <w:rPr>
                <w:rFonts w:ascii="Arial" w:cs="Arial" w:eastAsia="Arial" w:hAnsi="Arial"/>
                <w:b/>
                <w:bCs/>
                <w:color w:val="1B3A6B"/>
                <w:sz w:val="18"/>
                <w:szCs w:val="18"/>
              </w:rPr>
              <w:t xml:space="preserve">Deployment</w:t>
            </w:r>
          </w:p>
        </w:tc>
        <w:tc>
          <w:tcPr>
            <w:tcW w:type="dxa" w:w="238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Self-hosted</w:t>
            </w:r>
          </w:p>
        </w:tc>
        <w:tc>
          <w:tcPr>
            <w:tcW w:type="dxa" w:w="238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Self-hosted or managed</w:t>
            </w:r>
          </w:p>
        </w:tc>
        <w:tc>
          <w:tcPr>
            <w:tcW w:type="dxa" w:w="240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Managed only</w:t>
            </w:r>
          </w:p>
        </w:tc>
      </w:tr>
      <w:tr>
        <w:tc>
          <w:tcPr>
            <w:tcW w:type="dxa" w:w="22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Support</w:t>
            </w:r>
          </w:p>
        </w:tc>
        <w:tc>
          <w:tcPr>
            <w:tcW w:type="dxa" w:w="23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Community</w:t>
            </w:r>
          </w:p>
        </w:tc>
        <w:tc>
          <w:tcPr>
            <w:tcW w:type="dxa" w:w="23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SLA-backed</w:t>
            </w:r>
          </w:p>
        </w:tc>
        <w:tc>
          <w:tcPr>
            <w:tcW w:type="dxa" w:w="24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SLA-backed</w:t>
            </w:r>
          </w:p>
        </w:tc>
      </w:tr>
      <w:tr>
        <w:tc>
          <w:tcPr>
            <w:tcW w:type="dxa" w:w="220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left"/>
            </w:pPr>
            <w:r>
              <w:rPr>
                <w:rFonts w:ascii="Arial" w:cs="Arial" w:eastAsia="Arial" w:hAnsi="Arial"/>
                <w:b/>
                <w:bCs/>
                <w:color w:val="1B3A6B"/>
                <w:sz w:val="18"/>
                <w:szCs w:val="18"/>
              </w:rPr>
              <w:t xml:space="preserve">Availability SLA</w:t>
            </w:r>
          </w:p>
        </w:tc>
        <w:tc>
          <w:tcPr>
            <w:tcW w:type="dxa" w:w="238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238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99.9% / month</w:t>
            </w:r>
          </w:p>
        </w:tc>
        <w:tc>
          <w:tcPr>
            <w:tcW w:type="dxa" w:w="240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99.9% / month</w:t>
            </w:r>
          </w:p>
        </w:tc>
      </w:tr>
      <w:tr>
        <w:tc>
          <w:tcPr>
            <w:tcW w:type="dxa" w:w="22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Compliance Presets</w:t>
            </w:r>
          </w:p>
        </w:tc>
        <w:tc>
          <w:tcPr>
            <w:tcW w:type="dxa" w:w="23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GDPR, LGPD, PDPA</w:t>
            </w:r>
          </w:p>
        </w:tc>
        <w:tc>
          <w:tcPr>
            <w:tcW w:type="dxa" w:w="23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All presets incl. fi-se</w:t>
            </w:r>
          </w:p>
        </w:tc>
        <w:tc>
          <w:tcPr>
            <w:tcW w:type="dxa" w:w="24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All presets</w:t>
            </w:r>
          </w:p>
        </w:tc>
      </w:tr>
      <w:tr>
        <w:tc>
          <w:tcPr>
            <w:tcW w:type="dxa" w:w="220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left"/>
            </w:pPr>
            <w:r>
              <w:rPr>
                <w:rFonts w:ascii="Arial" w:cs="Arial" w:eastAsia="Arial" w:hAnsi="Arial"/>
                <w:b/>
                <w:bCs/>
                <w:color w:val="1B3A6B"/>
                <w:sz w:val="18"/>
                <w:szCs w:val="18"/>
              </w:rPr>
              <w:t xml:space="preserve">Max Tenants</w:t>
            </w:r>
          </w:p>
        </w:tc>
        <w:tc>
          <w:tcPr>
            <w:tcW w:type="dxa" w:w="238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238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Unlimited</w:t>
            </w:r>
          </w:p>
        </w:tc>
        <w:tc>
          <w:tcPr>
            <w:tcW w:type="dxa" w:w="2400"/>
            <w:tcBorders>
              <w:top w:val="single" w:color="BFCFDF" w:sz="4"/>
              <w:left w:val="single" w:color="BFCFDF" w:sz="4"/>
              <w:bottom w:val="single" w:color="BFCFDF" w:sz="4"/>
              <w:right w:val="single" w:color="BFCFDF" w:sz="4"/>
            </w:tcBorders>
            <w:shd w:fill="D9E8F5"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Unlimited</w:t>
            </w:r>
          </w:p>
        </w:tc>
      </w:tr>
      <w:tr>
        <w:tc>
          <w:tcPr>
            <w:tcW w:type="dxa" w:w="22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left"/>
            </w:pPr>
            <w:r>
              <w:rPr>
                <w:rFonts w:ascii="Arial" w:cs="Arial" w:eastAsia="Arial" w:hAnsi="Arial"/>
                <w:b/>
                <w:bCs/>
                <w:color w:val="1B3A6B"/>
                <w:sz w:val="18"/>
                <w:szCs w:val="18"/>
              </w:rPr>
              <w:t xml:space="preserve">Pricing basis</w:t>
            </w:r>
          </w:p>
        </w:tc>
        <w:tc>
          <w:tcPr>
            <w:tcW w:type="dxa" w:w="23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Free</w:t>
            </w:r>
          </w:p>
        </w:tc>
        <w:tc>
          <w:tcPr>
            <w:tcW w:type="dxa" w:w="238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Per tenant + volume</w:t>
            </w:r>
          </w:p>
        </w:tc>
        <w:tc>
          <w:tcPr>
            <w:tcW w:type="dxa" w:w="2400"/>
            <w:tcBorders>
              <w:top w:val="single" w:color="BFCFDF" w:sz="4"/>
              <w:left w:val="single" w:color="BFCFDF" w:sz="4"/>
              <w:bottom w:val="single" w:color="BFCFDF" w:sz="4"/>
              <w:right w:val="single" w:color="BFCFDF"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Per tenant + volume</w:t>
            </w:r>
          </w:p>
        </w:tc>
      </w:tr>
    </w:tbl>
    <w:p>
      <w:pPr>
        <w:spacing w:before="240"/>
      </w:pPr>
    </w:p>
    <w:p>
      <w:pPr>
        <w:pStyle w:val="Heading2"/>
        <w:spacing w:after="80" w:before="360"/>
      </w:pPr>
      <w:r>
        <w:rPr>
          <w:rFonts w:ascii="Arial" w:cs="Arial" w:eastAsia="Arial" w:hAnsi="Arial"/>
          <w:b/>
          <w:bCs/>
          <w:color w:val="2E6DA4"/>
          <w:sz w:val="26"/>
          <w:szCs w:val="26"/>
        </w:rPr>
        <w:t xml:space="preserve">Reference TCO — Representative Deployment</w:t>
      </w:r>
    </w:p>
    <w:p>
      <w:pPr>
        <w:spacing w:after="80" w:before="80"/>
      </w:pPr>
      <w:r>
        <w:rPr>
          <w:rFonts w:ascii="Arial" w:cs="Arial" w:eastAsia="Arial" w:hAnsi="Arial"/>
          <w:color w:val="000000"/>
          <w:sz w:val="20"/>
          <w:szCs w:val="20"/>
        </w:rPr>
        <w:t xml:space="preserve">Scenario: 1 Enterprise tenant, GDPR + fi-se presets active, 100,000 requests/month, EU data residency, self-hosted on customer cloud infrastructure.</w:t>
      </w:r>
    </w:p>
    <w:p>
      <w:pPr>
        <w:spacing w:before="80"/>
      </w:pPr>
    </w:p>
    <w:p>
      <w:pPr>
        <w:pStyle w:val="ListParagraph"/>
        <w:numPr>
          <w:ilvl w:val="0"/>
          <w:numId w:val="2"/>
        </w:numPr>
        <w:spacing w:after="40" w:before="40"/>
      </w:pPr>
      <w:r>
        <w:rPr>
          <w:rFonts w:ascii="Arial" w:cs="Arial" w:eastAsia="Arial" w:hAnsi="Arial"/>
          <w:sz w:val="20"/>
          <w:szCs w:val="20"/>
        </w:rPr>
        <w:t xml:space="preserve">Infrastructure (compute, storage, network): €300–€600/month (2× 4-core VM, 16 GB RAM, managed Redis-compatible cache)</w:t>
      </w:r>
    </w:p>
    <w:p>
      <w:pPr>
        <w:pStyle w:val="ListParagraph"/>
        <w:numPr>
          <w:ilvl w:val="0"/>
          <w:numId w:val="2"/>
        </w:numPr>
        <w:spacing w:after="40" w:before="40"/>
      </w:pPr>
      <w:r>
        <w:rPr>
          <w:rFonts w:ascii="Arial" w:cs="Arial" w:eastAsia="Arial" w:hAnsi="Arial"/>
          <w:sz w:val="20"/>
          <w:szCs w:val="20"/>
        </w:rPr>
        <w:t xml:space="preserve">AnonReq Enterprise licence: pricing on application (contact commercial@anonreq.io)</w:t>
      </w:r>
    </w:p>
    <w:p>
      <w:pPr>
        <w:pStyle w:val="ListParagraph"/>
        <w:numPr>
          <w:ilvl w:val="0"/>
          <w:numId w:val="2"/>
        </w:numPr>
        <w:spacing w:after="40" w:before="40"/>
      </w:pPr>
      <w:r>
        <w:rPr>
          <w:rFonts w:ascii="Arial" w:cs="Arial" w:eastAsia="Arial" w:hAnsi="Arial"/>
          <w:sz w:val="20"/>
          <w:szCs w:val="20"/>
        </w:rPr>
        <w:t xml:space="preserve">Internal implementation effort (initial deployment and integration): estimated 5–10 person-days</w:t>
      </w:r>
    </w:p>
    <w:p>
      <w:pPr>
        <w:pStyle w:val="ListParagraph"/>
        <w:numPr>
          <w:ilvl w:val="0"/>
          <w:numId w:val="2"/>
        </w:numPr>
        <w:spacing w:after="40" w:before="40"/>
      </w:pPr>
      <w:r>
        <w:rPr>
          <w:rFonts w:ascii="Arial" w:cs="Arial" w:eastAsia="Arial" w:hAnsi="Arial"/>
          <w:sz w:val="20"/>
          <w:szCs w:val="20"/>
        </w:rPr>
        <w:t xml:space="preserve">Ongoing operational effort (monitoring, configuration management, compliance reporting): estimated 0.25 FTE/month</w:t>
      </w:r>
    </w:p>
    <w:p>
      <w:pPr>
        <w:spacing w:before="160"/>
      </w:pPr>
    </w:p>
    <w:p>
      <w:pPr>
        <w:pStyle w:val="Heading2"/>
        <w:spacing w:after="80" w:before="360"/>
      </w:pPr>
      <w:r>
        <w:rPr>
          <w:rFonts w:ascii="Arial" w:cs="Arial" w:eastAsia="Arial" w:hAnsi="Arial"/>
          <w:b/>
          <w:bCs/>
          <w:color w:val="2E6DA4"/>
          <w:sz w:val="26"/>
          <w:szCs w:val="26"/>
        </w:rPr>
        <w:t xml:space="preserve">Revenue Model and Investor Notes</w:t>
      </w:r>
    </w:p>
    <w:p>
      <w:pPr>
        <w:spacing w:after="80" w:before="80"/>
      </w:pPr>
      <w:r>
        <w:rPr>
          <w:rFonts w:ascii="Arial" w:cs="Arial" w:eastAsia="Arial" w:hAnsi="Arial"/>
          <w:color w:val="000000"/>
          <w:sz w:val="20"/>
          <w:szCs w:val="20"/>
        </w:rPr>
        <w:t xml:space="preserve">AnonReq is positioned as a commercial open-source infrastructure product with three revenue streams:</w:t>
      </w:r>
    </w:p>
    <w:p>
      <w:pPr>
        <w:pStyle w:val="ListParagraph"/>
        <w:numPr>
          <w:ilvl w:val="0"/>
          <w:numId w:val="2"/>
        </w:numPr>
        <w:spacing w:after="40" w:before="40"/>
      </w:pPr>
      <w:r>
        <w:rPr>
          <w:rFonts w:ascii="Arial" w:cs="Arial" w:eastAsia="Arial" w:hAnsi="Arial"/>
          <w:sz w:val="20"/>
          <w:szCs w:val="20"/>
        </w:rPr>
        <w:t xml:space="preserve">Enterprise licence fees (recurring, per-tenant subscription): primary revenue stream. Target customers: banks, pension funds, asset managers, insurers, hedge funds, government agencies operating in GDPR, DORA, and EU AI Act jurisdictions.</w:t>
      </w:r>
    </w:p>
    <w:p>
      <w:pPr>
        <w:pStyle w:val="ListParagraph"/>
        <w:numPr>
          <w:ilvl w:val="0"/>
          <w:numId w:val="2"/>
        </w:numPr>
        <w:spacing w:after="40" w:before="40"/>
      </w:pPr>
      <w:r>
        <w:rPr>
          <w:rFonts w:ascii="Arial" w:cs="Arial" w:eastAsia="Arial" w:hAnsi="Arial"/>
          <w:sz w:val="20"/>
          <w:szCs w:val="20"/>
        </w:rPr>
        <w:t xml:space="preserve">Professional services (implementation, custom recogniser development, compliance advisory): expected to represent 20–30% of revenue in early growth phase, declining as self-service tooling matures.</w:t>
      </w:r>
    </w:p>
    <w:p>
      <w:pPr>
        <w:pStyle w:val="ListParagraph"/>
        <w:numPr>
          <w:ilvl w:val="0"/>
          <w:numId w:val="2"/>
        </w:numPr>
        <w:spacing w:after="40" w:before="40"/>
      </w:pPr>
      <w:r>
        <w:rPr>
          <w:rFonts w:ascii="Arial" w:cs="Arial" w:eastAsia="Arial" w:hAnsi="Arial"/>
          <w:sz w:val="20"/>
          <w:szCs w:val="20"/>
        </w:rPr>
        <w:t xml:space="preserve">Voice AI module (commercial add-on, managed deployment): higher ASP, targeting regulated client-facing AI voice use cases in financial services and healthcare.</w:t>
      </w:r>
    </w:p>
    <w:p>
      <w:pPr>
        <w:spacing w:before="120"/>
      </w:pPr>
    </w:p>
    <w:p>
      <w:pPr>
        <w:spacing w:after="80" w:before="80"/>
      </w:pPr>
      <w:r>
        <w:rPr>
          <w:rFonts w:ascii="Arial" w:cs="Arial" w:eastAsia="Arial" w:hAnsi="Arial"/>
          <w:color w:val="000000"/>
          <w:sz w:val="20"/>
          <w:szCs w:val="20"/>
        </w:rPr>
        <w:t xml:space="preserve">Go-to-market strategy: forward-deployed model targeting Ani Björkström's existing network of Stockholm-based asset managers and pension funds (AP funds, private equity), with warm introductions from the Wolver Ventures programme and the Crino Capital network (4,000 women in asset management). Enterprise deals will be supported by Abdullah's 15 years of datacenter and infrastructure credibility in regulated institutions, backed by the product's ability to pass CISO review without vendor promises.</w:t>
      </w:r>
    </w:p>
    <w:p>
      <w:pPr>
        <w:spacing w:before="200"/>
      </w:pPr>
    </w:p>
    <w:p>
      <w:pPr>
        <w:pStyle w:val="Heading2"/>
        <w:spacing w:after="80" w:before="360"/>
      </w:pPr>
      <w:r>
        <w:rPr>
          <w:rFonts w:ascii="Arial" w:cs="Arial" w:eastAsia="Arial" w:hAnsi="Arial"/>
          <w:b/>
          <w:bCs/>
          <w:color w:val="2E6DA4"/>
          <w:sz w:val="26"/>
          <w:szCs w:val="26"/>
        </w:rPr>
        <w:t xml:space="preserve">Contact</w:t>
      </w:r>
    </w:p>
    <w:p>
      <w:pPr>
        <w:spacing w:after="80" w:before="80"/>
      </w:pPr>
      <w:r>
        <w:rPr>
          <w:rFonts w:ascii="Arial" w:cs="Arial" w:eastAsia="Arial" w:hAnsi="Arial"/>
          <w:color w:val="000000"/>
          <w:sz w:val="20"/>
          <w:szCs w:val="20"/>
        </w:rPr>
        <w:t xml:space="preserve">Commercial enquiries and licence requests: commercial@anonreq.io</w:t>
      </w:r>
    </w:p>
    <w:p>
      <w:pPr>
        <w:spacing w:after="80" w:before="80"/>
      </w:pPr>
      <w:r>
        <w:rPr>
          <w:rFonts w:ascii="Arial" w:cs="Arial" w:eastAsia="Arial" w:hAnsi="Arial"/>
          <w:color w:val="000000"/>
          <w:sz w:val="20"/>
          <w:szCs w:val="20"/>
        </w:rPr>
        <w:t xml:space="preserve">Security disclosures: security@anonreq.io</w:t>
      </w:r>
    </w:p>
    <w:p>
      <w:pPr>
        <w:spacing w:after="80" w:before="80"/>
      </w:pPr>
      <w:r>
        <w:rPr>
          <w:rFonts w:ascii="Arial" w:cs="Arial" w:eastAsia="Arial" w:hAnsi="Arial"/>
          <w:color w:val="000000"/>
          <w:sz w:val="20"/>
          <w:szCs w:val="20"/>
        </w:rPr>
        <w:t xml:space="preserve">Investor relations: contact via Wolver Ventures programme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DF" w:sz="4" w:space="2"/>
      </w:pBdr>
      <w:tabs>
        <w:tab w:val="right" w:pos="9026"/>
      </w:tabs>
    </w:pPr>
    <w:r>
      <w:rPr>
        <w:rFonts w:ascii="Arial" w:cs="Arial" w:eastAsia="Arial" w:hAnsi="Arial"/>
        <w:color w:val="5A6B7A"/>
        <w:sz w:val="16"/>
        <w:szCs w:val="16"/>
      </w:rPr>
      <w:t xml:space="preserve">v1.0  ·  June 2025</w:t>
    </w:r>
    <w:r>
      <w:rPr>
        <w:rFonts w:ascii="Arial" w:cs="Arial" w:eastAsia="Arial" w:hAnsi="Arial"/>
        <w:sz w:val="16"/>
        <w:szCs w:val="16"/>
      </w:rPr>
      <w:t xml:space="preserve">	</w:t>
    </w:r>
    <w:r>
      <w:rPr>
        <w:rFonts w:ascii="Arial" w:cs="Arial" w:eastAsia="Arial" w:hAnsi="Arial"/>
        <w:color w:val="5A6B7A"/>
        <w:sz w:val="16"/>
        <w:szCs w:val="16"/>
      </w:rPr>
      <w:t xml:space="preserve">Page </w:t>
    </w:r>
    <w:r>
      <w:rPr>
        <w:rFonts w:ascii="Arial" w:cs="Arial" w:eastAsia="Arial" w:hAnsi="Arial"/>
        <w:color w:val="5A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FDF" w:sz="4" w:space="2"/>
      </w:pBdr>
    </w:pPr>
    <w:r>
      <w:rPr>
        <w:rFonts w:ascii="Arial" w:cs="Arial" w:eastAsia="Arial" w:hAnsi="Arial"/>
        <w:color w:val="5A6B7A"/>
        <w:sz w:val="16"/>
        <w:szCs w:val="16"/>
      </w:rPr>
      <w:t xml:space="preserve">AnonReq — Product Requirements Document</w:t>
    </w:r>
    <w:r>
      <w:rPr>
        <w:rFonts w:ascii="Arial" w:cs="Arial" w:eastAsia="Arial" w:hAnsi="Arial"/>
        <w:b/>
        <w:bCs/>
        <w:color w:val="5A6B7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36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24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2026-06-15T07:37:25.480Z</dcterms:created>
  <dcterms:modified xsi:type="dcterms:W3CDTF">2026-06-15T07:37:25.494Z</dcterms:modified>
</cp:coreProperties>
</file>

<file path=docProps/custom.xml><?xml version="1.0" encoding="utf-8"?>
<Properties xmlns="http://schemas.openxmlformats.org/officeDocument/2006/custom-properties" xmlns:vt="http://schemas.openxmlformats.org/officeDocument/2006/docPropsVTypes"/>
</file>