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D215" w14:textId="77777777" w:rsidR="00EB5530" w:rsidRPr="00EB5530" w:rsidRDefault="00EB5530" w:rsidP="00EB5530">
      <w:r w:rsidRPr="00EB5530">
        <w:t>IRM DE L’EPAULE</w:t>
      </w:r>
    </w:p>
    <w:p w14:paraId="761051B5" w14:textId="77777777" w:rsidR="00EB5530" w:rsidRPr="00EB5530" w:rsidRDefault="00EB5530" w:rsidP="00EB5530">
      <w:r w:rsidRPr="00EB5530">
        <w:rPr>
          <w:u w:val="single"/>
        </w:rPr>
        <w:t>INDICATION</w:t>
      </w:r>
      <w:r w:rsidRPr="00EB5530">
        <w:br/>
        <w:t>Bilan</w:t>
      </w:r>
    </w:p>
    <w:p w14:paraId="6B1B840A" w14:textId="77777777" w:rsidR="00EB5530" w:rsidRPr="00EB5530" w:rsidRDefault="00EB5530" w:rsidP="00EB5530">
      <w:r w:rsidRPr="00EB5530">
        <w:rPr>
          <w:u w:val="single"/>
        </w:rPr>
        <w:t>TECHNIQUE</w:t>
      </w:r>
      <w:r w:rsidRPr="00EB5530">
        <w:br/>
        <w:t>Coupes en pondération T2 dans les trois plans de l’espace. Coupes sagittales T1.</w:t>
      </w:r>
    </w:p>
    <w:p w14:paraId="19A55411" w14:textId="77777777" w:rsidR="00EB5530" w:rsidRPr="00EB5530" w:rsidRDefault="00EB5530" w:rsidP="00EB5530">
      <w:r w:rsidRPr="00EB5530">
        <w:rPr>
          <w:u w:val="single"/>
        </w:rPr>
        <w:t>RÉSULTATS</w:t>
      </w:r>
      <w:r w:rsidRPr="00EB5530">
        <w:br/>
        <w:t>La morphologie et le signal osseux sont normaux.</w:t>
      </w:r>
      <w:r w:rsidRPr="00EB5530">
        <w:br/>
        <w:t>Absence d’épanchement articulaire.</w:t>
      </w:r>
      <w:r w:rsidRPr="00EB5530">
        <w:br/>
        <w:t>Le tendon bicipital est en place, de calibre normal. Pas d’épanchement de la gaine tendineuse.</w:t>
      </w:r>
      <w:r w:rsidRPr="00EB5530">
        <w:br/>
        <w:t>Intégrité des tendons sous-scapulaire, supra- et infra-épineux.</w:t>
      </w:r>
      <w:r w:rsidRPr="00EB5530">
        <w:br/>
        <w:t>La trophicité musculaire est normale.</w:t>
      </w:r>
      <w:r w:rsidRPr="00EB5530">
        <w:br/>
        <w:t>Aspect normal de l’articulation acromio-claviculaire.</w:t>
      </w:r>
    </w:p>
    <w:p w14:paraId="7696E152" w14:textId="77777777" w:rsidR="00EB5530" w:rsidRPr="00EB5530" w:rsidRDefault="00EB5530" w:rsidP="00EB5530">
      <w:r w:rsidRPr="00EB5530">
        <w:rPr>
          <w:u w:val="single"/>
        </w:rPr>
        <w:t>CONCLUSION</w:t>
      </w:r>
      <w:r w:rsidRPr="00EB5530">
        <w:br/>
      </w:r>
      <w:r w:rsidRPr="00EB5530">
        <w:rPr>
          <w:b/>
          <w:bCs/>
        </w:rPr>
        <w:t>Examen normal.</w:t>
      </w:r>
    </w:p>
    <w:p w14:paraId="38E4F32B" w14:textId="77777777" w:rsidR="00F215EE" w:rsidRDefault="00F215EE"/>
    <w:sectPr w:rsidR="00F215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30"/>
    <w:rsid w:val="001D0DB9"/>
    <w:rsid w:val="00DD25A4"/>
    <w:rsid w:val="00EB5530"/>
    <w:rsid w:val="00F2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8B055"/>
  <w15:chartTrackingRefBased/>
  <w15:docId w15:val="{DA8FA703-0ED7-4D01-9C9C-AB281745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5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5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5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5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5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5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5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5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5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5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5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5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553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553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55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55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55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55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5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5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5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5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5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55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55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553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5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553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55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420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AZMI</dc:creator>
  <cp:keywords/>
  <dc:description/>
  <cp:lastModifiedBy>HAMZA AZMI</cp:lastModifiedBy>
  <cp:revision>1</cp:revision>
  <dcterms:created xsi:type="dcterms:W3CDTF">2025-10-09T09:35:00Z</dcterms:created>
  <dcterms:modified xsi:type="dcterms:W3CDTF">2025-10-09T09:42:00Z</dcterms:modified>
</cp:coreProperties>
</file>