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p>
    <w:p>
      <w:pPr>
        <w:spacing w:after="200"/>
        <w:jc w:val="center"/>
      </w:pPr>
      <w:r>
        <w:rPr>
          <w:b/>
          <w:bCs/>
          <w:color w:val="1F4E79"/>
          <w:sz w:val="48"/>
          <w:szCs w:val="48"/>
        </w:rPr>
        <w:t xml:space="preserve">MASI Hybrid Forecasting System</w:t>
      </w:r>
    </w:p>
    <w:p>
      <w:pPr>
        <w:spacing w:after="200"/>
        <w:jc w:val="center"/>
      </w:pPr>
      <w:r>
        <w:rPr>
          <w:i/>
          <w:iCs/>
          <w:sz w:val="26"/>
          <w:szCs w:val="26"/>
        </w:rPr>
        <w:t xml:space="preserve">Pipeline HMM + CNN-LSTM pour la prédiction du rendement de l'indice MASI</w:t>
      </w:r>
    </w:p>
    <w:p>
      <w:pPr>
        <w:spacing w:after="1200"/>
        <w:jc w:val="center"/>
      </w:pPr>
      <w:r>
        <w:rPr>
          <w:color w:val="595959"/>
          <w:sz w:val="24"/>
          <w:szCs w:val="24"/>
        </w:rPr>
        <w:t xml:space="preserve">Résumé exécutif du mémoire</w:t>
      </w:r>
    </w:p>
    <w:p>
      <w:pPr>
        <w:spacing w:after="120"/>
        <w:jc w:val="center"/>
      </w:pPr>
      <w:r>
        <w:rPr>
          <w:sz w:val="24"/>
          <w:szCs w:val="24"/>
        </w:rPr>
        <w:t xml:space="preserve">[Nom de l'auteur·rice]</w:t>
      </w:r>
    </w:p>
    <w:p>
      <w:pPr>
        <w:spacing w:after="120"/>
        <w:jc w:val="center"/>
      </w:pPr>
      <w:r>
        <w:rPr>
          <w:color w:val="595959"/>
          <w:sz w:val="22"/>
          <w:szCs w:val="22"/>
        </w:rPr>
        <w:t xml:space="preserve">[Université / Programme]</w:t>
      </w:r>
    </w:p>
    <w:p>
      <w:pPr>
        <w:spacing w:after="1600"/>
        <w:jc w:val="center"/>
      </w:pPr>
      <w:r>
        <w:rPr>
          <w:color w:val="595959"/>
          <w:sz w:val="22"/>
          <w:szCs w:val="22"/>
        </w:rPr>
        <w:t xml:space="preserve">Mai 2026</w:t>
      </w:r>
    </w:p>
    <w:p>
      <w:pPr>
        <w:pBdr>
          <w:bottom w:val="single" w:color="1F4E79" w:sz="6" w:space="4"/>
        </w:pBdr>
        <w:jc w:val="center"/>
      </w:pPr>
      <w:r>
        <w:t xml:space="preserve"/>
      </w:r>
    </w:p>
    <w:p>
      <w:r>
        <w:br w:type="page"/>
      </w:r>
    </w:p>
    <w:p>
      <w:pPr>
        <w:pStyle w:val="Heading1"/>
        <w:spacing w:after="160" w:before="280"/>
      </w:pPr>
      <w:r>
        <w:rPr>
          <w:b/>
          <w:bCs/>
          <w:sz w:val="32"/>
          <w:szCs w:val="32"/>
        </w:rPr>
        <w:t xml:space="preserve">1. Résumé exécutif</w:t>
      </w:r>
    </w:p>
    <w:p>
      <w:pPr>
        <w:spacing w:after="120"/>
      </w:pPr>
      <w:r>
        <w:t xml:space="preserve">Ce projet construit un pipeline rigoureux et anti-fuite pour la prédiction du rendement quotidien de l'indice MASI (Moroccan All Shares Index, Bourse de Casablanca). L'architecture combine un Hidden Markov Model (HMM) pour la détection de régimes de marché et un réseau hybride CNN-LSTM compact pour la prédiction, validés par walk-forward expansif et comparés à quatre baselines obligatoires (RULE 8). Le pipeline est composé de sept étapes (audit, pré-traitement, baselines, feature engineering, HMM, CNN-LSTM, backtest final) et respecte huit règles anti-fuite (L1–L8) testées empiriquement (écart maximal mesuré : 0,00).</w:t>
      </w:r>
    </w:p>
    <w:p>
      <w:pPr>
        <w:spacing w:after="80"/>
      </w:pPr>
      <w:r>
        <w:rPr>
          <w:b/>
          <w:bCs/>
        </w:rPr>
        <w:t xml:space="preserve">Verdict mémoire :</w:t>
      </w:r>
    </w:p>
    <w:p>
      <w:pPr>
        <w:pStyle w:val="ListParagraph"/>
        <w:numPr>
          <w:ilvl w:val="0"/>
          <w:numId w:val="2"/>
        </w:numPr>
        <w:spacing w:after="80"/>
      </w:pPr>
      <w:r>
        <w:rPr>
          <w:b/>
          <w:bCs/>
        </w:rPr>
        <w:t xml:space="preserve">Modèle de production recommandé : </w:t>
      </w:r>
      <w:r>
        <w:t xml:space="preserve">CNN-LSTM base12 (12 features Étape 3, sans le régime HMM). Il obtient la meilleure Directional Accuracy (DA = 0,556 ; IC 95 % [0,523 ; 0,586] — statistiquement significatif), le meilleur Max Drawdown (−0,160), le meilleur Calmar (+0,92), et reste profitable à 20 bps de coût de transaction (Sharpe +0,42) là où ARIMA s'effondre (−0,02).</w:t>
      </w:r>
    </w:p>
    <w:p>
      <w:pPr>
        <w:pStyle w:val="ListParagraph"/>
        <w:numPr>
          <w:ilvl w:val="0"/>
          <w:numId w:val="2"/>
        </w:numPr>
        <w:spacing w:after="80"/>
      </w:pPr>
      <w:r>
        <w:rPr>
          <w:b/>
          <w:bCs/>
        </w:rPr>
        <w:t xml:space="preserve">Trois insights majeurs : </w:t>
      </w:r>
      <w:r>
        <w:t xml:space="preserve">(1) le CNN-LSTM est cost-robust ; (2) tous les modèles perdent dans le régime Neutral (transitionnel à haute volatilité) mais le CNN-LSTM domine en Bear (+2,07) et Bull (+2,50) — d'où la stratégie régime-gated comme travaux futurs ; (3) aucun modèle ne franchit le seuil Deflated Sharpe Ratio (DSR) ≥ 0,95 "publishable" — résultat honnête conforme à la littérature (Deep 2025).</w:t>
      </w:r>
    </w:p>
    <w:p>
      <w:pPr>
        <w:pStyle w:val="ListParagraph"/>
        <w:numPr>
          <w:ilvl w:val="0"/>
          <w:numId w:val="2"/>
        </w:numPr>
        <w:spacing w:after="80"/>
      </w:pPr>
      <w:r>
        <w:rPr>
          <w:b/>
          <w:bCs/>
        </w:rPr>
        <w:t xml:space="preserve">Contribution scientifique principale : </w:t>
      </w:r>
      <w:r>
        <w:t xml:space="preserve">la rigueur méthodologique (validation walk-forward, tests anti-fuite empiriques, baselines avant deep learning, Deflated Sharpe, décomposition régime-conditionnelle) et le reporting honnête, plus que la performance absolue — conforme à la philosophie du sujet de recherche.</w:t>
      </w:r>
    </w:p>
    <w:p>
      <w:pPr>
        <w:pStyle w:val="Heading1"/>
        <w:spacing w:after="160" w:before="280"/>
      </w:pPr>
      <w:r>
        <w:rPr>
          <w:b/>
          <w:bCs/>
          <w:sz w:val="32"/>
          <w:szCs w:val="32"/>
        </w:rPr>
        <w:t xml:space="preserve">2. Contexte du projet</w:t>
      </w:r>
    </w:p>
    <w:p>
      <w:pPr>
        <w:pStyle w:val="Heading2"/>
        <w:spacing w:after="120" w:before="200"/>
      </w:pPr>
      <w:r>
        <w:rPr>
          <w:b/>
          <w:bCs/>
          <w:sz w:val="26"/>
          <w:szCs w:val="26"/>
        </w:rPr>
        <w:t xml:space="preserve">2.1 Le marché MASI</w:t>
      </w:r>
    </w:p>
    <w:p>
      <w:pPr>
        <w:spacing w:after="120"/>
      </w:pPr>
      <w:r>
        <w:t xml:space="preserve">Le MASI (Moroccan All Shares Index) est l'indice de référence de la Bourse de Casablanca. C'est un marché frontière, caractérisé par une faible liquidité (~76 titres tradables, dont une dizaine vraiment liquides), l'absence de VIX et de données intraday, et une période de cotation courte. Ces contraintes (C1–C6 dans le cahier des charges) excluent de nombreuses approches standard (Realized GARCH, deep reinforcement learning, etc.) et imposent une discipline de modèles compacts.</w:t>
      </w:r>
    </w:p>
    <w:p>
      <w:pPr>
        <w:pStyle w:val="Heading2"/>
        <w:spacing w:after="120" w:before="200"/>
      </w:pPr>
      <w:r>
        <w:rPr>
          <w:b/>
          <w:bCs/>
          <w:sz w:val="26"/>
          <w:szCs w:val="26"/>
        </w:rPr>
        <w:t xml:space="preserve">2.2 Objectif du projet</w:t>
      </w:r>
    </w:p>
    <w:p>
      <w:pPr>
        <w:spacing w:after="120"/>
      </w:pPr>
      <w:r>
        <w:t xml:space="preserve">Cible : y_t = ln(P_{t+1} / P_t), le rendement logarithmique à 1 jour (régression continue ; direction binaire en cible secondaire). Horizon : 1 jour. Le projet vise à comparer rigoureusement des baselines simples et un modèle profond (CNN-LSTM avec régime HMM en feature) en respectant strictement la discipline anti-fuite et la philosophie « DL uniquement si dominance prouvée » (RULE 8).</w:t>
      </w:r>
    </w:p>
    <w:p>
      <w:pPr>
        <w:pStyle w:val="Heading2"/>
        <w:spacing w:after="120" w:before="200"/>
      </w:pPr>
      <w:r>
        <w:rPr>
          <w:b/>
          <w:bCs/>
          <w:sz w:val="26"/>
          <w:szCs w:val="26"/>
        </w:rPr>
        <w:t xml:space="preserve">2.3 Données</w:t>
      </w:r>
    </w:p>
    <w:p>
      <w:pPr>
        <w:spacing w:after="120"/>
      </w:pPr>
      <w:r>
        <w:t xml:space="preserve">Dataset multi-facteur 2007-2026 (4 786 observations daily), construit en fusionnant deux sources : un dataset de recherche externe (longue histoire + macro) et un export OHLC récent. Variables : MASI close + OHLC partiel (2016+), 4 actions liquides (ATW, IAM, LHM, MNG), Brent, Or, EUR/MAD, GPR Index, taux directeur BAM. La période couvre deux régimes Bear distincts (crise 2008, COVID 2020), critique pour l'entraînement du HMM.</w:t>
      </w:r>
    </w:p>
    <w:p>
      <w:r>
        <w:br w:type="page"/>
      </w:r>
    </w:p>
    <w:p>
      <w:pPr>
        <w:pStyle w:val="Heading1"/>
        <w:spacing w:after="160" w:before="280"/>
      </w:pPr>
      <w:r>
        <w:rPr>
          <w:b/>
          <w:bCs/>
          <w:sz w:val="32"/>
          <w:szCs w:val="32"/>
        </w:rPr>
        <w:t xml:space="preserve">3. Méthodologie</w:t>
      </w:r>
    </w:p>
    <w:p>
      <w:pPr>
        <w:pStyle w:val="Heading2"/>
        <w:spacing w:after="120" w:before="200"/>
      </w:pPr>
      <w:r>
        <w:rPr>
          <w:b/>
          <w:bCs/>
          <w:sz w:val="26"/>
          <w:szCs w:val="26"/>
        </w:rPr>
        <w:t xml:space="preserve">3.1 Pipeline en 7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Étape</w:t>
            </w:r>
          </w:p>
        </w:tc>
        <w:tc>
          <w:tcPr>
            <w:tcW w:type="dxa" w:w="3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Objectif</w:t>
            </w:r>
          </w:p>
        </w:tc>
        <w:tc>
          <w:tcPr>
            <w:tcW w:type="dxa" w:w="536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Livrables clés</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0</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Audit + synthèse littérature</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masi_merged.csv (4 786 obs), audit + 10 articles synthétisés</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1</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Pré-traitement &amp; split</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TRAIN 3 348 / VAL 478 / TEST 948 ; scaler TRAIN-only (L1)</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2</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4 baselines obligatoires</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RW, Hist Mean, ARIMA(2,0,2), Random Forest</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3</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Feature engineering</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24 features causales, test anti-fuite empirique (max diff = 0)</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4</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HMM 3 états (régimes)</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Étude comparative 5 specs, gagnant = momentum HMM</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5</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CNN-LSTM walk-forward</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Architecture compacte (~5k params), ablation régime</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6</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Backtest final + DSR</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Verdict final mémoire, recommandation production</w:t>
            </w:r>
          </w:p>
        </w:tc>
      </w:tr>
    </w:tbl>
    <w:p>
      <w:pPr>
        <w:pStyle w:val="Heading2"/>
        <w:spacing w:after="120" w:before="200"/>
      </w:pPr>
      <w:r>
        <w:rPr>
          <w:b/>
          <w:bCs/>
          <w:sz w:val="26"/>
          <w:szCs w:val="26"/>
        </w:rPr>
        <w:t xml:space="preserve">3.2 Discipline anti-fuite (L1–L8) — non négociable</w:t>
      </w:r>
    </w:p>
    <w:p>
      <w:pPr>
        <w:pStyle w:val="ListParagraph"/>
        <w:numPr>
          <w:ilvl w:val="0"/>
          <w:numId w:val="2"/>
        </w:numPr>
        <w:spacing w:after="80"/>
      </w:pPr>
      <w:r>
        <w:rPr>
          <w:b/>
          <w:bCs/>
        </w:rPr>
        <w:t xml:space="preserve">L1 : </w:t>
      </w:r>
      <w:r>
        <w:t xml:space="preserve">Scaler ajusté sur TRAIN uniquement (jamais sur le full dataset).</w:t>
      </w:r>
    </w:p>
    <w:p>
      <w:pPr>
        <w:pStyle w:val="ListParagraph"/>
        <w:numPr>
          <w:ilvl w:val="0"/>
          <w:numId w:val="2"/>
        </w:numPr>
        <w:spacing w:after="80"/>
      </w:pPr>
      <w:r>
        <w:rPr>
          <w:b/>
          <w:bCs/>
        </w:rPr>
        <w:t xml:space="preserve">L2 : </w:t>
      </w:r>
      <w:r>
        <w:t xml:space="preserve">HMM entraîné sur TRAIN uniquement, forward-appliqué sur VAL/TEST.</w:t>
      </w:r>
    </w:p>
    <w:p>
      <w:pPr>
        <w:pStyle w:val="ListParagraph"/>
        <w:numPr>
          <w:ilvl w:val="0"/>
          <w:numId w:val="2"/>
        </w:numPr>
        <w:spacing w:after="80"/>
      </w:pPr>
      <w:r>
        <w:rPr>
          <w:b/>
          <w:bCs/>
        </w:rPr>
        <w:t xml:space="preserve">L3 : </w:t>
      </w:r>
      <w:r>
        <w:t xml:space="preserve">Features rolling avec shift(≥1) ou closed='left', jamais centered. Testé empiriquement (recalcul tronqué, écart maximal 0,00).</w:t>
      </w:r>
    </w:p>
    <w:p>
      <w:pPr>
        <w:pStyle w:val="ListParagraph"/>
        <w:numPr>
          <w:ilvl w:val="0"/>
          <w:numId w:val="2"/>
        </w:numPr>
        <w:spacing w:after="80"/>
      </w:pPr>
      <w:r>
        <w:rPr>
          <w:b/>
          <w:bCs/>
        </w:rPr>
        <w:t xml:space="preserve">L4 : </w:t>
      </w:r>
      <w:r>
        <w:t xml:space="preserve">Cible construite après les features (jamais incluse en feature).</w:t>
      </w:r>
    </w:p>
    <w:p>
      <w:pPr>
        <w:pStyle w:val="ListParagraph"/>
        <w:numPr>
          <w:ilvl w:val="0"/>
          <w:numId w:val="2"/>
        </w:numPr>
        <w:spacing w:after="80"/>
      </w:pPr>
      <w:r>
        <w:rPr>
          <w:b/>
          <w:bCs/>
        </w:rPr>
        <w:t xml:space="preserve">L5 : </w:t>
      </w:r>
      <w:r>
        <w:t xml:space="preserve">Signal à t → exécution au close de t+1 (target = ret t→t+1).</w:t>
      </w:r>
    </w:p>
    <w:p>
      <w:pPr>
        <w:pStyle w:val="ListParagraph"/>
        <w:numPr>
          <w:ilvl w:val="0"/>
          <w:numId w:val="2"/>
        </w:numPr>
        <w:spacing w:after="80"/>
      </w:pPr>
      <w:r>
        <w:rPr>
          <w:b/>
          <w:bCs/>
        </w:rPr>
        <w:t xml:space="preserve">L6 : </w:t>
      </w:r>
      <w:r>
        <w:t xml:space="preserve">Split temporel + gap de 8 jours calendaires entre les splits.</w:t>
      </w:r>
    </w:p>
    <w:p>
      <w:pPr>
        <w:pStyle w:val="ListParagraph"/>
        <w:numPr>
          <w:ilvl w:val="0"/>
          <w:numId w:val="2"/>
        </w:numPr>
        <w:spacing w:after="80"/>
      </w:pPr>
      <w:r>
        <w:rPr>
          <w:b/>
          <w:bCs/>
        </w:rPr>
        <w:t xml:space="preserve">L7 : </w:t>
      </w:r>
      <w:r>
        <w:t xml:space="preserve">Forward-fill ≤ 2 jours pour MASI, drop si gap &gt; 5 jours.</w:t>
      </w:r>
    </w:p>
    <w:p>
      <w:pPr>
        <w:pStyle w:val="ListParagraph"/>
        <w:numPr>
          <w:ilvl w:val="0"/>
          <w:numId w:val="2"/>
        </w:numPr>
        <w:spacing w:after="80"/>
      </w:pPr>
      <w:r>
        <w:rPr>
          <w:b/>
          <w:bCs/>
        </w:rPr>
        <w:t xml:space="preserve">L8 : </w:t>
      </w:r>
      <w:r>
        <w:t xml:space="preserve">GARCH re-estimé par fenêtre walk-forward (partiel — voir limitations).</w:t>
      </w:r>
    </w:p>
    <w:p>
      <w:pPr>
        <w:pStyle w:val="Heading2"/>
        <w:spacing w:after="120" w:before="200"/>
      </w:pPr>
      <w:r>
        <w:rPr>
          <w:b/>
          <w:bCs/>
          <w:sz w:val="26"/>
          <w:szCs w:val="26"/>
        </w:rPr>
        <w:t xml:space="preserve">3.3 Innovation anti-fuite clé — décodage causal du régime</w:t>
      </w:r>
    </w:p>
    <w:p>
      <w:pPr>
        <w:spacing w:after="120"/>
      </w:pPr>
      <w:r>
        <w:t xml:space="preserve">Le régime HMM utilisé comme feature pour le CNN-LSTM doit être causal : regime_t ne peut utiliser que les observations ≤ t. Le décodage Viterbi standard (et model.predict_proba en mode smoothed) utilise toute la séquence → fuite du futur dans la feature. Notre pipeline implémente un forward-filter manuel (algorithme forward scalé) qui ne consomme que les observations passées. Diagnostic : accord causal vs Viterbi ≈ 90 %, soit ~10 % des jours où Viterbi « triche » avec le futur — cette différence est précisément la fuite qu'on a évitée.</w:t>
      </w:r>
    </w:p>
    <w:p>
      <w:pPr>
        <w:pStyle w:val="Heading2"/>
        <w:spacing w:after="120" w:before="200"/>
      </w:pPr>
      <w:r>
        <w:rPr>
          <w:b/>
          <w:bCs/>
          <w:sz w:val="26"/>
          <w:szCs w:val="26"/>
        </w:rPr>
        <w:t xml:space="preserve">3.4 RULE 8 — Deep Learning uniquement si dominance prouvée</w:t>
      </w:r>
    </w:p>
    <w:p>
      <w:pPr>
        <w:spacing w:after="120"/>
      </w:pPr>
      <w:r>
        <w:t xml:space="preserve">Le deep learning n'est légitime que s'il surperforme les baselines simples (RW, Hist Mean, ARIMA, RF) en walk-forward, avec coûts réalistes, sans fuite et stable à travers les fenêtres. Cette règle protège contre le biais « sophistication = performance ». Notre CNN-LSTM est évalué selon cette règle, avec un verdict multi-axes (prédiction vs trading).</w:t>
      </w:r>
    </w:p>
    <w:p>
      <w:r>
        <w:br w:type="page"/>
      </w:r>
    </w:p>
    <w:p>
      <w:pPr>
        <w:pStyle w:val="Heading1"/>
        <w:spacing w:after="160" w:before="280"/>
      </w:pPr>
      <w:r>
        <w:rPr>
          <w:b/>
          <w:bCs/>
          <w:sz w:val="32"/>
          <w:szCs w:val="32"/>
        </w:rPr>
        <w:t xml:space="preserve">4. Résultats clés</w:t>
      </w:r>
    </w:p>
    <w:p>
      <w:pPr>
        <w:pStyle w:val="Heading2"/>
        <w:spacing w:after="120" w:before="200"/>
      </w:pPr>
      <w:r>
        <w:rPr>
          <w:b/>
          <w:bCs/>
          <w:sz w:val="26"/>
          <w:szCs w:val="26"/>
        </w:rPr>
        <w:t xml:space="preserve">4.1 Étape 2 — Plancher de performance (4 baselines, TEST)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400"/>
        <w:gridCol w:w="1400"/>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Baseline</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DA</w:t>
            </w:r>
          </w:p>
        </w:tc>
        <w:tc>
          <w:tcPr>
            <w:tcW w:type="dxa" w:w="1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RMSE</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Sharpe</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MDD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Random Walk</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0,008777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Hist. Mean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0,457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0,008777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−0,88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−0,52</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ARIMA(2,0,2)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0,526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0,008915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sz w:val="20"/>
                <w:szCs w:val="20"/>
              </w:rPr>
              <w:t xml:space="preserve">+1,17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−0,21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Random Forest</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0,533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0,008887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+0,71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−0,24</w:t>
            </w:r>
          </w:p>
        </w:tc>
      </w:tr>
    </w:tbl>
    <w:p>
      <w:pPr>
        <w:spacing w:after="200"/>
      </w:pPr>
      <w:r>
        <w:rPr>
          <w:i/>
          <w:iCs/>
        </w:rPr>
        <w:t xml:space="preserve">ARIMA et RF établissent le plancher : Sharpe à battre = 1,17 ; DA à battre = 0,533.</w:t>
      </w:r>
    </w:p>
    <w:p>
      <w:pPr>
        <w:pStyle w:val="Heading2"/>
        <w:spacing w:after="120" w:before="200"/>
      </w:pPr>
      <w:r>
        <w:rPr>
          <w:b/>
          <w:bCs/>
          <w:sz w:val="26"/>
          <w:szCs w:val="26"/>
        </w:rPr>
        <w:t xml:space="preserve">4.2 Étape 4 — HMM (momentum spec, 3 états)</w:t>
      </w:r>
    </w:p>
    <w:p>
      <w:pPr>
        <w:spacing w:after="120"/>
      </w:pPr>
      <w:r>
        <w:t xml:space="preserve">Étude comparative de 5 jeux d'observations ; gagnant = HMM sur [roll_mean_21, garch_vol] (régimes directionnellement cohérents — spread Bull−Bear positif sur train, val ET test). Décodage causal forward-filter (anti-fuite L3) : accord avec Viterbi 91,8 / 93,5 / 91,1 %.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2000"/>
        <w:gridCol w:w="1600"/>
      </w:tblGrid>
      <w:tr>
        <w:trPr>
          <w:tblHeader/>
        </w:trPr>
        <w:tc>
          <w:tcPr>
            <w:tcW w:type="dxa" w:w="1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Régime</w:t>
            </w:r>
          </w:p>
        </w:tc>
        <w:tc>
          <w:tcPr>
            <w:tcW w:type="dxa" w:w="17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Part TRAIN</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Rendement (ann.)</w:t>
            </w:r>
          </w:p>
        </w:tc>
        <w:tc>
          <w:tcPr>
            <w:tcW w:type="dxa" w:w="20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Volatilité (ann.)</w:t>
            </w:r>
          </w:p>
        </w:tc>
        <w:tc>
          <w:tcPr>
            <w:tcW w:type="dxa" w:w="16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Durée moy.</w:t>
            </w:r>
          </w:p>
        </w:tc>
      </w:tr>
      <w:tr>
        <w:tc>
          <w:tcPr>
            <w:tcW w:type="dxa" w:w="1800"/>
            <w:tcBorders>
              <w:top w:val="single" w:color="888888" w:sz="1"/>
              <w:left w:val="single" w:color="888888" w:sz="1"/>
              <w:bottom w:val="single" w:color="888888" w:sz="1"/>
              <w:right w:val="single" w:color="888888" w:sz="1"/>
            </w:tcBorders>
            <w:shd w:fill="FCE4E4" w:val="clear"/>
            <w:tcMar>
              <w:top w:type="dxa" w:w="80"/>
              <w:left w:type="dxa" w:w="120"/>
              <w:bottom w:type="dxa" w:w="80"/>
              <w:right w:type="dxa" w:w="120"/>
            </w:tcMar>
          </w:tcPr>
          <w:p>
            <w:pPr>
              <w:jc w:val="left"/>
            </w:pPr>
            <w:r>
              <w:rPr>
                <w:b/>
                <w:bCs/>
                <w:sz w:val="20"/>
                <w:szCs w:val="20"/>
              </w:rPr>
              <w:t xml:space="preserve">Bear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37,5 %</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−12,6 %</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9,6 %</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19,0 j</w:t>
            </w:r>
          </w:p>
        </w:tc>
      </w:tr>
      <w:tr>
        <w:tc>
          <w:tcPr>
            <w:tcW w:type="dxa" w:w="1800"/>
            <w:tcBorders>
              <w:top w:val="single" w:color="888888" w:sz="1"/>
              <w:left w:val="single" w:color="888888" w:sz="1"/>
              <w:bottom w:val="single" w:color="888888" w:sz="1"/>
              <w:right w:val="single" w:color="888888" w:sz="1"/>
            </w:tcBorders>
            <w:shd w:fill="FCF6E0" w:val="clear"/>
            <w:tcMar>
              <w:top w:type="dxa" w:w="80"/>
              <w:left w:type="dxa" w:w="120"/>
              <w:bottom w:type="dxa" w:w="80"/>
              <w:right w:type="dxa" w:w="120"/>
            </w:tcMar>
          </w:tcPr>
          <w:p>
            <w:pPr>
              <w:jc w:val="left"/>
            </w:pPr>
            <w:r>
              <w:rPr>
                <w:b/>
                <w:bCs/>
                <w:sz w:val="20"/>
                <w:szCs w:val="20"/>
              </w:rPr>
              <w:t xml:space="preserve">Neutral</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23,0 %</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+2,7 %</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19,2 %</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12,6 j</w:t>
            </w:r>
          </w:p>
        </w:tc>
      </w:tr>
      <w:tr>
        <w:tc>
          <w:tcPr>
            <w:tcW w:type="dxa" w:w="1800"/>
            <w:tcBorders>
              <w:top w:val="single" w:color="888888" w:sz="1"/>
              <w:left w:val="single" w:color="888888" w:sz="1"/>
              <w:bottom w:val="single" w:color="888888" w:sz="1"/>
              <w:right w:val="single" w:color="888888" w:sz="1"/>
            </w:tcBorders>
            <w:shd w:fill="E0F0E0" w:val="clear"/>
            <w:tcMar>
              <w:top w:type="dxa" w:w="80"/>
              <w:left w:type="dxa" w:w="120"/>
              <w:bottom w:type="dxa" w:w="80"/>
              <w:right w:type="dxa" w:w="120"/>
            </w:tcMar>
          </w:tcPr>
          <w:p>
            <w:pPr>
              <w:jc w:val="left"/>
            </w:pPr>
            <w:r>
              <w:rPr>
                <w:b/>
                <w:bCs/>
                <w:sz w:val="20"/>
                <w:szCs w:val="20"/>
              </w:rPr>
              <w:t xml:space="preserve">Bull</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39,5 %</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+7,9 %</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8,4 %</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18,2 j</w:t>
            </w:r>
          </w:p>
        </w:tc>
      </w:tr>
    </w:tbl>
    <w:p>
      <w:pPr>
        <w:pStyle w:val="Heading2"/>
        <w:spacing w:after="120" w:before="200"/>
      </w:pPr>
      <w:r>
        <w:rPr>
          <w:b/>
          <w:bCs/>
          <w:sz w:val="26"/>
          <w:szCs w:val="26"/>
        </w:rPr>
        <w:t xml:space="preserve">4.3 Étape 5 — CNN-LSTM walk-forward (verdict multi-axes)</w:t>
      </w:r>
    </w:p>
    <w:p>
      <w:pPr>
        <w:spacing w:after="120"/>
      </w:pPr>
      <w:r>
        <w:t xml:space="preserve">Architecture compacte (Conv1D(16) → LSTM(24) → Dense(16) → 1 ; ~5 185 params, plafond C3 = 10k), PyTorch CPU, walk-forward expansif 5 folds, fenêtre L = 20, 3 seeds/fold (ensemble), ablation avec/sans régime HMM.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1400"/>
      </w:tblGrid>
      <w:tr>
        <w:trPr>
          <w:tblHeader/>
        </w:trPr>
        <w:tc>
          <w:tcPr>
            <w:tcW w:type="dxa" w:w="2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Métrique</w:t>
            </w:r>
          </w:p>
        </w:tc>
        <w:tc>
          <w:tcPr>
            <w:tcW w:type="dxa" w:w="20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CNN-LSTM base12</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Meilleur baseline (ARIMA/RF)</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Verdict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DA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0,556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0,533 (RF)</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WIN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RMSE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0,008828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0,008887 (RF)</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WIN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MDD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−0,160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−0,212 (ARIMA)</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WIN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Sharpe (5 bps, règle simple)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+1,055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+1,168 (ARIMA)</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B22222"/>
                <w:sz w:val="20"/>
                <w:szCs w:val="20"/>
              </w:rPr>
              <w:t xml:space="preserve">LOSE</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Sharpe (règle à seuil VAL→TEST)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+0,911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B22222"/>
                <w:sz w:val="20"/>
                <w:szCs w:val="20"/>
              </w:rPr>
              <w:t xml:space="preserve">LOSE</w:t>
            </w:r>
          </w:p>
        </w:tc>
      </w:tr>
    </w:tbl>
    <w:p>
      <w:pPr>
        <w:pStyle w:val="ListParagraph"/>
        <w:numPr>
          <w:ilvl w:val="0"/>
          <w:numId w:val="2"/>
        </w:numPr>
        <w:spacing w:after="80"/>
      </w:pPr>
      <w:r>
        <w:rPr>
          <w:b/>
          <w:bCs/>
        </w:rPr>
        <w:t xml:space="preserve">Ablation régime HMM : </w:t>
      </w:r>
      <w:r>
        <w:t xml:space="preserve">−0,84 pp DA → régime retiré (redondant avec roll_mean_21 et garch_vol déjà présents).</w:t>
      </w:r>
    </w:p>
    <w:p>
      <w:pPr>
        <w:pStyle w:val="ListParagraph"/>
        <w:numPr>
          <w:ilvl w:val="0"/>
          <w:numId w:val="2"/>
        </w:numPr>
        <w:spacing w:after="80"/>
      </w:pPr>
      <w:r>
        <w:rPr>
          <w:b/>
          <w:bCs/>
        </w:rPr>
        <w:t xml:space="preserve">Règle à seuil (calibrée sur VAL) : </w:t>
      </w:r>
      <w:r>
        <w:t xml:space="preserve">Sharpe TEST 0,91 &lt; 1,06 baseline rule → ne transfère pas (gap VAL→TEST).</w:t>
      </w:r>
    </w:p>
    <w:p>
      <w:pPr>
        <w:pStyle w:val="ListParagraph"/>
        <w:numPr>
          <w:ilvl w:val="0"/>
          <w:numId w:val="2"/>
        </w:numPr>
        <w:spacing w:after="80"/>
      </w:pPr>
      <w:r>
        <w:rPr>
          <w:b/>
          <w:bCs/>
        </w:rPr>
        <w:t xml:space="preserve">Verdict multi-axes : </w:t>
      </w:r>
      <w:r>
        <w:t xml:space="preserve">BEST_PREDICTOR — meilleur prédicteur (DA, RMSE, MDD) ; ARIMA reste meilleur sur le Sharpe brut. Le strict RULE 8 binaire = REJECTED (conservé pour transparence).</w:t>
      </w:r>
    </w:p>
    <w:p>
      <w:r>
        <w:br w:type="page"/>
      </w:r>
    </w:p>
    <w:p>
      <w:pPr>
        <w:pStyle w:val="Heading1"/>
        <w:spacing w:after="160" w:before="280"/>
      </w:pPr>
      <w:r>
        <w:rPr>
          <w:b/>
          <w:bCs/>
          <w:sz w:val="32"/>
          <w:szCs w:val="32"/>
        </w:rPr>
        <w:t xml:space="preserve">5. Backtest final — les 3 insights majeurs (Étape 6)</w:t>
      </w:r>
    </w:p>
    <w:p>
      <w:pPr>
        <w:spacing w:after="200"/>
      </w:pPr>
      <w:r>
        <w:t xml:space="preserve">Étape 6 : backtest des 5 modèles sur les 948 jours TEST avec coûts de transaction réalistes, Deflated Sharpe Ratio (Bailey &amp; López de Prado 2014), décomposition par régime, et sensibilité aux coûts.</w:t>
      </w:r>
    </w:p>
    <w:p>
      <w:pPr>
        <w:pStyle w:val="Heading2"/>
        <w:spacing w:after="120" w:before="200"/>
      </w:pPr>
      <w:r>
        <w:rPr>
          <w:b/>
          <w:bCs/>
          <w:sz w:val="26"/>
          <w:szCs w:val="26"/>
        </w:rPr>
        <w:t xml:space="preserve">5.1 Insight 1 — Le CNN-LSTM est cost-robust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Coût one-way</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ARIMA</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Random Forest</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CNN-LSTM base12</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5 bps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sz w:val="20"/>
                <w:szCs w:val="20"/>
              </w:rPr>
              <w:t xml:space="preserve">+1,17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+0,71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+1,06</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10 bps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+0,77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sz w:val="20"/>
                <w:szCs w:val="20"/>
              </w:rPr>
              <w:t xml:space="preserve">+0,84</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20 bps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B22222"/>
                <w:sz w:val="20"/>
                <w:szCs w:val="20"/>
              </w:rPr>
              <w:t xml:space="preserve">−0,02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+0,11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+0,42</w:t>
            </w:r>
          </w:p>
        </w:tc>
      </w:tr>
    </w:tbl>
    <w:p>
      <w:pPr>
        <w:spacing w:after="120"/>
      </w:pPr>
      <w:r>
        <w:t xml:space="preserve">ARIMA gagne uniquement à 5 bps (l'hypothèse la plus optimiste). À 10 bps, le CNN-LSTM passe en tête ; à 20 bps, ARIMA s'effondre tandis que le CNN-LSTM reste profitable. Cause : ARIMA fait 414 trades sur 948 jours (~44 % turnover) contre 221 pour le CNN-LSTM (~23 %). Pour des coûts marocains réalistes (≥ 10 bps), le CNN-LSTM est le modèle de production justifié.</w:t>
      </w:r>
    </w:p>
    <w:p>
      <w:pPr>
        <w:pStyle w:val="Heading2"/>
        <w:spacing w:after="120" w:before="200"/>
      </w:pPr>
      <w:r>
        <w:rPr>
          <w:b/>
          <w:bCs/>
          <w:sz w:val="26"/>
          <w:szCs w:val="26"/>
        </w:rPr>
        <w:t xml:space="preserve">5.2 Insight 2 — Régime-conditional : tous perdent en Neutral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Modèle</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Bear (n=168)</w:t>
            </w:r>
          </w:p>
        </w:tc>
        <w:tc>
          <w:tcPr>
            <w:tcW w:type="dxa" w:w="2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Neutral (n=371)</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Bull (n=409)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Hist. Mean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+1,61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−1,71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−1,27</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ARIMA</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+0,66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+1,75</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Random Forest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+1,85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−0,40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+1,70</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CNN-LSTM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+2,07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color w:val="B22222"/>
                <w:sz w:val="20"/>
                <w:szCs w:val="20"/>
              </w:rPr>
              <w:t xml:space="preserve">−0,31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color w:val="0F7B0F"/>
                <w:sz w:val="20"/>
                <w:szCs w:val="20"/>
              </w:rPr>
              <w:t xml:space="preserve">+2,50</w:t>
            </w:r>
          </w:p>
        </w:tc>
      </w:tr>
    </w:tbl>
    <w:p>
      <w:pPr>
        <w:spacing w:after="120"/>
      </w:pPr>
      <w:r>
        <w:t xml:space="preserve">Le CNN-LSTM est le meilleur trader en Bear ET en Bull (battant ARIMA dans les deux). Le régime Neutral (transitionnel à haute volatilité) est où tous les modèles perdent. Une stratégie régime-gated (trader uniquement Bear/Bull, ne rien faire en Neutral) est l'extension naturelle la plus prometteuse — l'agrégation actuelle du Sharpe pénalise le CNN-LSTM précisément à cause de sa traînée Neutral.</w:t>
      </w:r>
    </w:p>
    <w:p>
      <w:pPr>
        <w:pStyle w:val="Heading2"/>
        <w:spacing w:after="120" w:before="200"/>
      </w:pPr>
      <w:r>
        <w:rPr>
          <w:b/>
          <w:bCs/>
          <w:sz w:val="26"/>
          <w:szCs w:val="26"/>
        </w:rPr>
        <w:t xml:space="preserve">5.3 Insight 3 — Deflated Sharpe : la note d'honnêteté</w:t>
      </w:r>
    </w:p>
    <w:p>
      <w:pPr>
        <w:spacing w:after="160"/>
      </w:pPr>
      <w:r>
        <w:t xml:space="preserve">Le Sharpe ratio est biaisé à la hausse quand plusieurs stratégies sont testées (sélection biaisée). Le DSR = PSR(SR0) ajuste pour (a) le nombre d'essais N, (b) la non-normalité des rendements (skew et kurtosis), via la formule de Bailey &amp; López de Prado (2014).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00"/>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Modèle</w:t>
            </w:r>
          </w:p>
        </w:tc>
        <w:tc>
          <w:tcPr>
            <w:tcW w:type="dxa" w:w="1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Sharpe (5 bps)</w:t>
            </w:r>
          </w:p>
        </w:tc>
        <w:tc>
          <w:tcPr>
            <w:tcW w:type="dxa" w:w="2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DSR = PSR(SR0)</w:t>
            </w:r>
          </w:p>
        </w:tc>
        <w:tc>
          <w:tcPr>
            <w:tcW w:type="dxa" w:w="26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Verdict</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Random Walk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0,000</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WEAK</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Hist. Mean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0,0001</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WEAK</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ARIMA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+1,17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b/>
                <w:bCs/>
                <w:sz w:val="20"/>
                <w:szCs w:val="20"/>
              </w:rPr>
              <w:t xml:space="preserve">0,62</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WEAK</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Random Forest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+0,71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0,28</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WEAK</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CNN-LSTM</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+1,06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0,53</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WEAK</w:t>
            </w:r>
          </w:p>
        </w:tc>
      </w:tr>
    </w:tbl>
    <w:p>
      <w:pPr>
        <w:spacing w:after="120"/>
      </w:pPr>
      <w:r>
        <w:t xml:space="preserve">Aucun modèle ne franchit le seuil DSR ≥ 0,95 "publishable". Honnêtement : avec 948 jours de TEST et 5 modèles testés, on ne peut pas confirmer statistiquement un gagnant unique. Ce résultat est conforme à la littérature (Deep 2025 rapporte p = 0,34 sur les actions US avec 34 fenêtres walk-forward). Les edges agrégés sont des points estimés réels mais non statistiquement robustes au seuil 95 %.</w:t>
      </w:r>
    </w:p>
    <w:p>
      <w:r>
        <w:br w:type="page"/>
      </w:r>
    </w:p>
    <w:p>
      <w:pPr>
        <w:pStyle w:val="Heading1"/>
        <w:spacing w:after="160" w:before="280"/>
      </w:pPr>
      <w:r>
        <w:rPr>
          <w:b/>
          <w:bCs/>
          <w:sz w:val="32"/>
          <w:szCs w:val="32"/>
        </w:rPr>
        <w:t xml:space="preserve">6. Recommandation finale &amp; travaux futurs</w:t>
      </w:r>
    </w:p>
    <w:p>
      <w:pPr>
        <w:pStyle w:val="Heading2"/>
        <w:spacing w:after="120" w:before="200"/>
      </w:pPr>
      <w:r>
        <w:rPr>
          <w:b/>
          <w:bCs/>
          <w:sz w:val="26"/>
          <w:szCs w:val="26"/>
        </w:rPr>
        <w:t xml:space="preserve">6.1 Recommandation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Cas d'usage</w:t>
            </w:r>
          </w:p>
        </w:tc>
        <w:tc>
          <w:tcPr>
            <w:tcW w:type="dxa" w:w="24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Modèle recommandé</w:t>
            </w:r>
          </w:p>
        </w:tc>
        <w:tc>
          <w:tcPr>
            <w:tcW w:type="dxa" w:w="416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sz w:val="20"/>
                <w:szCs w:val="20"/>
              </w:rPr>
              <w:t xml:space="preserve">Justification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Prédiction directionnelle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CNN-LSTM base12</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Meilleure DA (0,556), CI [0,523 ; 0,586] significatif</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Trading sous coûts réalistes (≥ 10 bps)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CNN-LSTM base12</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Survit à 20 bps (Sharpe +0,42) ; ARIMA s'effondre</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Trading en régimes trend (Bear/Bull)</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b/>
                <w:bCs/>
                <w:sz w:val="20"/>
                <w:szCs w:val="20"/>
              </w:rPr>
              <w:t xml:space="preserve">CNN-LSTM base12</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Meilleur trader Bear (+2,07) ET Bull (+2,50)</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Sharpe brut à 5 bps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ARIMA (référence)</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Meilleur Sharpe (1,17) mais fragile aux coûts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Feature régime HMM</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sz w:val="20"/>
                <w:szCs w:val="20"/>
              </w:rPr>
              <w:t xml:space="preserve">Abandonnée</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sz w:val="20"/>
                <w:szCs w:val="20"/>
              </w:rPr>
              <w:t xml:space="preserve">Ablation −0,84 pp DA — redondance avec features momentum</w:t>
            </w:r>
          </w:p>
        </w:tc>
      </w:tr>
    </w:tbl>
    <w:p>
      <w:pPr>
        <w:pStyle w:val="Heading2"/>
        <w:spacing w:after="120" w:before="200"/>
      </w:pPr>
      <w:r>
        <w:rPr>
          <w:b/>
          <w:bCs/>
          <w:sz w:val="26"/>
          <w:szCs w:val="26"/>
        </w:rPr>
        <w:t xml:space="preserve">6.2 Travaux futurs</w:t>
      </w:r>
    </w:p>
    <w:p>
      <w:pPr>
        <w:pStyle w:val="ListParagraph"/>
        <w:numPr>
          <w:ilvl w:val="0"/>
          <w:numId w:val="2"/>
        </w:numPr>
        <w:spacing w:after="80"/>
      </w:pPr>
      <w:r>
        <w:rPr>
          <w:b/>
          <w:bCs/>
        </w:rPr>
        <w:t xml:space="preserve">(1) Stratégie régime-gated : </w:t>
      </w:r>
      <w:r>
        <w:t xml:space="preserve">implémenter trader=CNN-LSTM uniquement quand régime_t ∈ {Bear, Bull} ; flat en Neutral. Très probablement le plus grand gain de Sharpe accessible immédiatement.</w:t>
      </w:r>
    </w:p>
    <w:p>
      <w:pPr>
        <w:pStyle w:val="ListParagraph"/>
        <w:numPr>
          <w:ilvl w:val="0"/>
          <w:numId w:val="2"/>
        </w:numPr>
        <w:spacing w:after="80"/>
      </w:pPr>
      <w:r>
        <w:rPr>
          <w:b/>
          <w:bCs/>
        </w:rPr>
        <w:t xml:space="preserve">(2) Walk-forward intégral L8 : </w:t>
      </w:r>
      <w:r>
        <w:t xml:space="preserve">ré-estimer GARCH + HMM + CNN-LSTM dans chaque fenêtre walk-forward (actuellement HMM fit unique sur TRAIN, partiel L8).</w:t>
      </w:r>
    </w:p>
    <w:p>
      <w:pPr>
        <w:pStyle w:val="ListParagraph"/>
        <w:numPr>
          <w:ilvl w:val="0"/>
          <w:numId w:val="2"/>
        </w:numPr>
        <w:spacing w:after="80"/>
      </w:pPr>
      <w:r>
        <w:rPr>
          <w:b/>
          <w:bCs/>
        </w:rPr>
        <w:t xml:space="preserve">(3) Historique étendu : </w:t>
      </w:r>
      <w:r>
        <w:t xml:space="preserve">intégrer des données pré-2007 (si disponibles) pour augmenter le nombre de fenêtres walk-forward et améliorer la puissance statistique du DSR.</w:t>
      </w:r>
    </w:p>
    <w:p>
      <w:pPr>
        <w:pStyle w:val="ListParagraph"/>
        <w:numPr>
          <w:ilvl w:val="0"/>
          <w:numId w:val="2"/>
        </w:numPr>
        <w:spacing w:after="80"/>
      </w:pPr>
      <w:r>
        <w:rPr>
          <w:b/>
          <w:bCs/>
        </w:rPr>
        <w:t xml:space="preserve">(4) Architectures alternatives : </w:t>
      </w:r>
      <w:r>
        <w:t xml:space="preserve">Transformer 1-D, TCN, avec la même discipline anti-fuite — pour vérifier si une autre architecture compacte ferait mieux.</w:t>
      </w:r>
    </w:p>
    <w:p>
      <w:pPr>
        <w:pStyle w:val="ListParagraph"/>
        <w:numPr>
          <w:ilvl w:val="0"/>
          <w:numId w:val="2"/>
        </w:numPr>
        <w:spacing w:after="80"/>
      </w:pPr>
      <w:r>
        <w:rPr>
          <w:b/>
          <w:bCs/>
        </w:rPr>
        <w:t xml:space="preserve">(5) Loss cost-aware : </w:t>
      </w:r>
      <w:r>
        <w:t xml:space="preserve">remplacer la MSE par une loss intégrant directement les coûts de transaction (le CNN-LSTM apprendrait à éviter les sur-trades).</w:t>
      </w:r>
    </w:p>
    <w:p>
      <w:pPr>
        <w:pStyle w:val="Heading2"/>
        <w:spacing w:after="120" w:before="200"/>
      </w:pPr>
      <w:r>
        <w:rPr>
          <w:b/>
          <w:bCs/>
          <w:sz w:val="26"/>
          <w:szCs w:val="26"/>
        </w:rPr>
        <w:t xml:space="preserve">6.3 Limitations honnêtes</w:t>
      </w:r>
    </w:p>
    <w:p>
      <w:pPr>
        <w:pStyle w:val="ListParagraph"/>
        <w:numPr>
          <w:ilvl w:val="0"/>
          <w:numId w:val="2"/>
        </w:numPr>
        <w:spacing w:after="80"/>
      </w:pPr>
      <w:r>
        <w:rPr>
          <w:b/>
          <w:bCs/>
        </w:rPr>
        <w:t xml:space="preserve">Fenêtre TEST unique : </w:t>
      </w:r>
      <w:r>
        <w:t xml:space="preserve">948 jours (2022-2026). Bien que walk-forward 4 trimestres soit fait, le sous-jacent est une seule période historique.</w:t>
      </w:r>
    </w:p>
    <w:p>
      <w:pPr>
        <w:pStyle w:val="ListParagraph"/>
        <w:numPr>
          <w:ilvl w:val="0"/>
          <w:numId w:val="2"/>
        </w:numPr>
        <w:spacing w:after="80"/>
      </w:pPr>
      <w:r>
        <w:rPr>
          <w:b/>
          <w:bCs/>
        </w:rPr>
        <w:t xml:space="preserve">Refit HMM/GARCH partiel : </w:t>
      </w:r>
      <w:r>
        <w:t xml:space="preserve">non re-estimé par fold walk-forward (RULE 6 : scope ; le filtre causal prévient déjà la fuite).</w:t>
      </w:r>
    </w:p>
    <w:p>
      <w:pPr>
        <w:pStyle w:val="ListParagraph"/>
        <w:numPr>
          <w:ilvl w:val="0"/>
          <w:numId w:val="2"/>
        </w:numPr>
        <w:spacing w:after="80"/>
      </w:pPr>
      <w:r>
        <w:rPr>
          <w:b/>
          <w:bCs/>
        </w:rPr>
        <w:t xml:space="preserve">Pas de données intraday : </w:t>
      </w:r>
      <w:r>
        <w:t xml:space="preserve">fréquence daily uniquement ; Realized GARCH (Hansen 2021) infaisable.</w:t>
      </w:r>
    </w:p>
    <w:p>
      <w:pPr>
        <w:pStyle w:val="ListParagraph"/>
        <w:numPr>
          <w:ilvl w:val="0"/>
          <w:numId w:val="2"/>
        </w:numPr>
        <w:spacing w:after="80"/>
      </w:pPr>
      <w:r>
        <w:rPr>
          <w:b/>
          <w:bCs/>
        </w:rPr>
        <w:t xml:space="preserve">Coûts estimés : </w:t>
      </w:r>
      <w:r>
        <w:t xml:space="preserve">5–20 bps testés ; les coûts réels à la Bourse de Casablanca varient selon broker et taille d'ordre.</w:t>
      </w:r>
    </w:p>
    <w:p>
      <w:pPr>
        <w:pStyle w:val="ListParagraph"/>
        <w:numPr>
          <w:ilvl w:val="0"/>
          <w:numId w:val="2"/>
        </w:numPr>
        <w:spacing w:after="80"/>
      </w:pPr>
      <w:r>
        <w:rPr>
          <w:b/>
          <w:bCs/>
        </w:rPr>
        <w:t xml:space="preserve">DSR sensible à N : </w:t>
      </w:r>
      <w:r>
        <w:t xml:space="preserve">N = 5 trials utilisé ; un N plus strict (10, incluant HMM specs + CNN-LSTM configs) abaisserait davantage le DSR.</w:t>
      </w:r>
    </w:p>
    <w:p>
      <w:pPr>
        <w:pStyle w:val="Heading1"/>
        <w:spacing w:after="160" w:before="280"/>
      </w:pPr>
      <w:r>
        <w:rPr>
          <w:b/>
          <w:bCs/>
          <w:sz w:val="32"/>
          <w:szCs w:val="32"/>
        </w:rPr>
        <w:t xml:space="preserve">7. Conclusion scientifique</w:t>
      </w:r>
    </w:p>
    <w:p>
      <w:pPr>
        <w:spacing w:after="120"/>
      </w:pPr>
      <w:r>
        <w:t xml:space="preserve">Ce projet a construit un pipeline de prévision financière rigoureux et leakage-free pour le MASI : audit + littérature, pré-traitement et split temporel, 4 baselines obligatoires, 24 features causales testées empiriquement, HMM 3 états avec décodage causal, CNN-LSTM compact en walk-forward expansif, et backtest final avec Deflated Sharpe Ratio.</w:t>
      </w:r>
    </w:p>
    <w:p>
      <w:pPr>
        <w:spacing w:after="120"/>
      </w:pPr>
      <w:r>
        <w:t xml:space="preserve">Le résultat empirique est nuancé : le CNN-LSTM apprend une compétence directionnelle significative (DA = 0,556 ; IC excluant 0,50), bat les baselines simples sur les métriques de prédiction (DA, RMSE, MDD) et domine en termes de robustesse aux coûts de transaction. Mais le Sharpe brut à 5 bps reste capturé par ARIMA, et aucun modèle ne franchit le seuil de robustesse statistique (DSR ≥ 0,95).</w:t>
      </w:r>
    </w:p>
    <w:p>
      <w:pPr>
        <w:spacing w:after="120"/>
      </w:pPr>
      <w:r>
        <w:t xml:space="preserve">La contribution scientifique principale n'est pas un modèle « gagnant » au sens spectaculaire, mais la démonstration méthodologique qu'un pipeline anti-fuite rigoureux sur un marché frontière produit des résultats modestes et honnêtes — résultats qui résistent aux corrections statistiques (Deflated Sharpe) et qui sont défendables devant un jury, plutôt que des performances gonflées par une fuite involontaire de données.</w:t>
      </w:r>
    </w:p>
    <w:p>
      <w:pPr>
        <w:spacing w:after="120"/>
      </w:pPr>
      <w:r>
        <w:t xml:space="preserve">L'insight régime-conditionnel (tous les modèles perdent en régime Neutral, le CNN-LSTM domine en Bear et Bull) ouvre une voie d'amélioration claire et naturelle : la stratégie régime-gated, qui justifie le pipeline HMM + CNN-LSTM dans son ensemble — non pas pour utiliser le régime comme feature directe (l'ablation a montré sa redondance), mais comme filtre d'activation du trading.</w:t>
      </w:r>
    </w:p>
    <w:p>
      <w:pPr>
        <w:spacing w:after="200"/>
      </w:pPr>
      <w:r>
        <w:rPr>
          <w:i/>
          <w:iCs/>
        </w:rPr>
        <w:t xml:space="preserve">Conformément à la philosophie RULE 7 (robustesse &gt; complexité) et RULE 8 (DL uniquement si dominance prouvée), le verdict honnête est : pipeline validé, modèle de production identifié (CNN-LSTM base12 + future régime-gating), limites scientifiques explicitement reconnues.</w:t>
      </w:r>
    </w:p>
    <w:p>
      <w:r>
        <w:br w:type="page"/>
      </w:r>
    </w:p>
    <w:p>
      <w:pPr>
        <w:pStyle w:val="Heading1"/>
        <w:spacing w:after="160" w:before="280"/>
      </w:pPr>
      <w:r>
        <w:rPr>
          <w:b/>
          <w:bCs/>
          <w:sz w:val="32"/>
          <w:szCs w:val="32"/>
        </w:rPr>
        <w:t xml:space="preserve">Annexe — Artefacts du projet</w:t>
      </w:r>
    </w:p>
    <w:p>
      <w:pPr>
        <w:pStyle w:val="Heading2"/>
        <w:spacing w:after="120" w:before="200"/>
      </w:pPr>
      <w:r>
        <w:rPr>
          <w:b/>
          <w:bCs/>
          <w:sz w:val="26"/>
          <w:szCs w:val="26"/>
        </w:rPr>
        <w:t xml:space="preserve">A.1 Arborescence des livrables</w:t>
      </w:r>
    </w:p>
    <w:p>
      <w:pPr>
        <w:spacing w:after="60"/>
      </w:pPr>
      <w:r>
        <w:rPr>
          <w:b/>
          <w:bCs/>
        </w:rPr>
        <w:t xml:space="preserve">Output_Labs/</w:t>
      </w:r>
    </w:p>
    <w:p>
      <w:pPr>
        <w:pStyle w:val="ListParagraph"/>
        <w:numPr>
          <w:ilvl w:val="0"/>
          <w:numId w:val="2"/>
        </w:numPr>
        <w:spacing w:after="80"/>
      </w:pPr>
      <w:r>
        <w:t xml:space="preserve">ETAPE0/ — etape0_audit.py, etape0_audit_report.md, etape0_literature_synthesis.md, audit_plots/</w:t>
      </w:r>
    </w:p>
    <w:p>
      <w:pPr>
        <w:pStyle w:val="ListParagraph"/>
        <w:numPr>
          <w:ilvl w:val="0"/>
          <w:numId w:val="2"/>
        </w:numPr>
        <w:spacing w:after="80"/>
      </w:pPr>
      <w:r>
        <w:t xml:space="preserve">etape1_preprocessing.{py,ipynb}, etape1_report.md, etape1_splits/, etape1_plots/</w:t>
      </w:r>
    </w:p>
    <w:p>
      <w:pPr>
        <w:pStyle w:val="ListParagraph"/>
        <w:numPr>
          <w:ilvl w:val="0"/>
          <w:numId w:val="2"/>
        </w:numPr>
        <w:spacing w:after="80"/>
      </w:pPr>
      <w:r>
        <w:t xml:space="preserve">etape2_baselines.{py,ipynb}, etape2_report.md, etape2_results/, etape2_plots/</w:t>
      </w:r>
    </w:p>
    <w:p>
      <w:pPr>
        <w:pStyle w:val="ListParagraph"/>
        <w:numPr>
          <w:ilvl w:val="0"/>
          <w:numId w:val="2"/>
        </w:numPr>
        <w:spacing w:after="80"/>
      </w:pPr>
      <w:r>
        <w:t xml:space="preserve">etape3_features.{py,ipynb}, etape3_leakage_audit.md, etape3_features/, etape3_plots/</w:t>
      </w:r>
    </w:p>
    <w:p>
      <w:pPr>
        <w:pStyle w:val="ListParagraph"/>
        <w:numPr>
          <w:ilvl w:val="0"/>
          <w:numId w:val="2"/>
        </w:numPr>
        <w:spacing w:after="80"/>
      </w:pPr>
      <w:r>
        <w:t xml:space="preserve">etape4_hmm.{py,ipynb}, etape4_regime_report.md, etape4_regimes/, etape4_plots/</w:t>
      </w:r>
    </w:p>
    <w:p>
      <w:pPr>
        <w:pStyle w:val="ListParagraph"/>
        <w:numPr>
          <w:ilvl w:val="0"/>
          <w:numId w:val="2"/>
        </w:numPr>
        <w:spacing w:after="80"/>
      </w:pPr>
      <w:r>
        <w:t xml:space="preserve">etape5_cnn_lstm.{py,ipynb}, etape5_walkforward_report.md, etape5_results/, etape5_plots/</w:t>
      </w:r>
    </w:p>
    <w:p>
      <w:pPr>
        <w:pStyle w:val="ListParagraph"/>
        <w:numPr>
          <w:ilvl w:val="0"/>
          <w:numId w:val="2"/>
        </w:numPr>
        <w:spacing w:after="80"/>
      </w:pPr>
      <w:r>
        <w:t xml:space="preserve">etape6_backtest.{py,ipynb}, etape6_final_report.md, etape6_results/, etape6_plots/</w:t>
      </w:r>
    </w:p>
    <w:p>
      <w:pPr>
        <w:spacing w:after="60"/>
      </w:pPr>
      <w:r>
        <w:rPr>
          <w:b/>
          <w:bCs/>
        </w:rPr>
        <w:t xml:space="preserve">Racine du projet :</w:t>
      </w:r>
    </w:p>
    <w:p>
      <w:pPr>
        <w:pStyle w:val="ListParagraph"/>
        <w:numPr>
          <w:ilvl w:val="0"/>
          <w:numId w:val="2"/>
        </w:numPr>
        <w:spacing w:after="80"/>
      </w:pPr>
      <w:r>
        <w:t xml:space="preserve">prompt.md — cahier des charges (référence absolue)</w:t>
      </w:r>
    </w:p>
    <w:p>
      <w:pPr>
        <w:pStyle w:val="ListParagraph"/>
        <w:numPr>
          <w:ilvl w:val="0"/>
          <w:numId w:val="2"/>
        </w:numPr>
        <w:spacing w:after="80"/>
      </w:pPr>
      <w:r>
        <w:t xml:space="preserve">README.md, INDEX.md — synthèses et navigation</w:t>
      </w:r>
    </w:p>
    <w:p>
      <w:pPr>
        <w:pStyle w:val="ListParagraph"/>
        <w:numPr>
          <w:ilvl w:val="0"/>
          <w:numId w:val="2"/>
        </w:numPr>
        <w:spacing w:after="80"/>
      </w:pPr>
      <w:r>
        <w:t xml:space="preserve">Data/masi_merged.csv — dataset fusionné (4 786 obs)</w:t>
      </w:r>
    </w:p>
    <w:p>
      <w:pPr>
        <w:pStyle w:val="Heading2"/>
        <w:spacing w:after="120" w:before="200"/>
      </w:pPr>
      <w:r>
        <w:rPr>
          <w:b/>
          <w:bCs/>
          <w:sz w:val="26"/>
          <w:szCs w:val="26"/>
        </w:rPr>
        <w:t xml:space="preserve">A.2 Littérature mobilisée (10 articles)</w:t>
      </w:r>
    </w:p>
    <w:p>
      <w:pPr>
        <w:pStyle w:val="ListParagraph"/>
        <w:numPr>
          <w:ilvl w:val="0"/>
          <w:numId w:val="2"/>
        </w:numPr>
        <w:spacing w:after="80"/>
      </w:pPr>
      <w:r>
        <w:t xml:space="preserve">Albelali &amp; Ahmed (2025) — Hidden Leaks in LSTM Time Series (anti-leakage)</w:t>
      </w:r>
    </w:p>
    <w:p>
      <w:pPr>
        <w:pStyle w:val="ListParagraph"/>
        <w:numPr>
          <w:ilvl w:val="0"/>
          <w:numId w:val="2"/>
        </w:numPr>
        <w:spacing w:after="80"/>
      </w:pPr>
      <w:r>
        <w:t xml:space="preserve">Deep, Deep &amp; Lamptey (2025) — Walk-Forward Validation Framework</w:t>
      </w:r>
    </w:p>
    <w:p>
      <w:pPr>
        <w:pStyle w:val="ListParagraph"/>
        <w:numPr>
          <w:ilvl w:val="0"/>
          <w:numId w:val="2"/>
        </w:numPr>
        <w:spacing w:after="80"/>
      </w:pPr>
      <w:r>
        <w:t xml:space="preserve">Oukhouya &amp; El Himdi (2023, 2024) — ML Forecasting MASI / MSI20</w:t>
      </w:r>
    </w:p>
    <w:p>
      <w:pPr>
        <w:pStyle w:val="ListParagraph"/>
        <w:numPr>
          <w:ilvl w:val="0"/>
          <w:numId w:val="2"/>
        </w:numPr>
        <w:spacing w:after="80"/>
      </w:pPr>
      <w:r>
        <w:t xml:space="preserve">Touzani &amp; Douzi (2021) — LSTM+GRU Trading Strategy Moroccan Market</w:t>
      </w:r>
    </w:p>
    <w:p>
      <w:pPr>
        <w:pStyle w:val="ListParagraph"/>
        <w:numPr>
          <w:ilvl w:val="0"/>
          <w:numId w:val="2"/>
        </w:numPr>
        <w:spacing w:after="80"/>
      </w:pPr>
      <w:r>
        <w:t xml:space="preserve">Sivakumar (2025) — HMM-LSTM Fusion for Economic Forecasting</w:t>
      </w:r>
    </w:p>
    <w:p>
      <w:pPr>
        <w:pStyle w:val="ListParagraph"/>
        <w:numPr>
          <w:ilvl w:val="0"/>
          <w:numId w:val="2"/>
        </w:numPr>
        <w:spacing w:after="80"/>
      </w:pPr>
      <w:r>
        <w:t xml:space="preserve">Monteiro (2025) — HMM + Neural Networks for Algorithmic Trading</w:t>
      </w:r>
    </w:p>
    <w:p>
      <w:pPr>
        <w:pStyle w:val="ListParagraph"/>
        <w:numPr>
          <w:ilvl w:val="0"/>
          <w:numId w:val="2"/>
        </w:numPr>
        <w:spacing w:after="80"/>
      </w:pPr>
      <w:r>
        <w:t xml:space="preserve">Korley &amp; Giouvris (2021) — Regime-Switching in Frontier Markets (Sub-Saharan Africa)</w:t>
      </w:r>
    </w:p>
    <w:p>
      <w:pPr>
        <w:pStyle w:val="ListParagraph"/>
        <w:numPr>
          <w:ilvl w:val="0"/>
          <w:numId w:val="2"/>
        </w:numPr>
        <w:spacing w:after="80"/>
      </w:pPr>
      <w:r>
        <w:t xml:space="preserve">Hansen et al. (2021) — Realized GARCH, VIX, Volatility Risk Premium</w:t>
      </w:r>
    </w:p>
    <w:p>
      <w:pPr>
        <w:pStyle w:val="ListParagraph"/>
        <w:numPr>
          <w:ilvl w:val="0"/>
          <w:numId w:val="2"/>
        </w:numPr>
        <w:spacing w:after="80"/>
      </w:pPr>
      <w:r>
        <w:t xml:space="preserve">Fozap (2025) — Hybrid LSTM-CNN with Technical Indicators</w:t>
      </w:r>
    </w:p>
    <w:p>
      <w:pPr>
        <w:pStyle w:val="ListParagraph"/>
        <w:numPr>
          <w:ilvl w:val="0"/>
          <w:numId w:val="2"/>
        </w:numPr>
        <w:spacing w:after="80"/>
      </w:pPr>
      <w:r>
        <w:t xml:space="preserve">Bailey &amp; López de Prado (2014) — The Deflated Sharpe Ratio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MASI Hybrid Forecasting System — Résumé exécutif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MASI — Résumé exécutif du mémoire</dc:title>
  <dc:creator>MASI Hybrid Forecasting System</dc:creator>
  <dc:description>Executive summary — MASI Hybrid Forecasting System (HMM + CNN-LSTM)</dc:description>
  <cp:lastModifiedBy>Un-named</cp:lastModifiedBy>
  <cp:revision>1</cp:revision>
  <dcterms:created xsi:type="dcterms:W3CDTF">2026-05-23T00:35:48.154Z</dcterms:created>
  <dcterms:modified xsi:type="dcterms:W3CDTF">2026-05-23T00:35:48.155Z</dcterms:modified>
</cp:coreProperties>
</file>

<file path=docProps/custom.xml><?xml version="1.0" encoding="utf-8"?>
<Properties xmlns="http://schemas.openxmlformats.org/officeDocument/2006/custom-properties" xmlns:vt="http://schemas.openxmlformats.org/officeDocument/2006/docPropsVTypes"/>
</file>