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sz w:val="44"/>
          <w:szCs w:val="44"/>
        </w:rPr>
        <w:t xml:space="preserve">GB Green Energy Investment Prioritisation Tool</w:t>
      </w:r>
    </w:p>
    <w:p>
      <w:pPr>
        <w:spacing w:after="80" w:before="0"/>
      </w:pPr>
      <w:r>
        <w:rPr>
          <w:rFonts w:ascii="Arial" w:cs="Arial" w:eastAsia="Arial" w:hAnsi="Arial"/>
          <w:color w:val="1B5E20"/>
          <w:sz w:val="28"/>
          <w:szCs w:val="28"/>
        </w:rPr>
        <w:t xml:space="preserve">Phase 1: Methodology Specification</w:t>
      </w:r>
    </w:p>
    <w:p>
      <w:pPr>
        <w:spacing w:after="400" w:before="0"/>
      </w:pPr>
      <w:r>
        <w:rPr>
          <w:rFonts w:ascii="Arial" w:cs="Arial" w:eastAsia="Arial" w:hAnsi="Arial"/>
          <w:color w:val="666666"/>
          <w:sz w:val="22"/>
          <w:szCs w:val="22"/>
        </w:rPr>
        <w:t xml:space="preserve">Version 1.0  |  June 2026</w:t>
      </w:r>
    </w:p>
    <w:p>
      <w:pPr>
        <w:pBdr>
          <w:bottom w:val="single" w:color="1B5E20" w:sz="6" w:space="1"/>
        </w:pBdr>
        <w:spacing w:after="400" w:before="0"/>
      </w:pPr>
      <w:r>
        <w:t xml:space="preserve"/>
      </w:r>
    </w:p>
    <w:p>
      <w:pPr>
        <w:pStyle w:val="Heading1"/>
        <w:spacing w:after="160" w:before="400"/>
      </w:pPr>
      <w:r>
        <w:rPr>
          <w:rFonts w:ascii="Arial" w:cs="Arial" w:eastAsia="Arial" w:hAnsi="Arial"/>
          <w:b/>
          <w:bCs/>
          <w:sz w:val="32"/>
          <w:szCs w:val="32"/>
        </w:rPr>
        <w:t xml:space="preserve">1. Research Question</w:t>
      </w:r>
    </w:p>
    <w:p>
      <w:pPr>
        <w:spacing w:after="80" w:before="80"/>
        <w:jc w:val="both"/>
      </w:pPr>
      <w:r>
        <w:rPr>
          <w:rFonts w:ascii="Arial" w:cs="Arial" w:eastAsia="Arial" w:hAnsi="Arial"/>
          <w:i/>
          <w:iCs/>
          <w:sz w:val="22"/>
          <w:szCs w:val="22"/>
        </w:rPr>
        <w:t xml:space="preserve">Which distribution network zones in Great Britain represent the highest-value targets for green energy investment, when modelled across renewable generation potential, existing grid constraints, demand growth signals, and socioeconomic vulnerability?</w:t>
      </w:r>
    </w:p>
    <w:p>
      <w:pPr>
        <w:spacing w:after="80" w:before="80"/>
      </w:pPr>
      <w:r>
        <w:t xml:space="preserve"/>
      </w:r>
    </w:p>
    <w:p>
      <w:pPr>
        <w:spacing w:after="80" w:before="80"/>
        <w:jc w:val="both"/>
      </w:pPr>
      <w:r>
        <w:rPr>
          <w:rFonts w:ascii="Arial" w:cs="Arial" w:eastAsia="Arial" w:hAnsi="Arial"/>
          <w:sz w:val="22"/>
          <w:szCs w:val="22"/>
        </w:rPr>
        <w:t xml:space="preserve">This question has practical relevance. The transition to net zero requires substantial capital allocation to electricity distribution infrastructure, yet no publicly accessible tool synthesises the available open data into a single, transparent, zone-level investability assessment. DNO licence areas vary substantially in their readiness to absorb and export renewable energy; this project attempts to make that variation legible.</w:t>
      </w:r>
    </w:p>
    <w:p>
      <w:pPr>
        <w:spacing w:after="80" w:before="80"/>
      </w:pPr>
      <w:r>
        <w:t xml:space="preserve"/>
      </w:r>
    </w:p>
    <w:p>
      <w:pPr>
        <w:pStyle w:val="Heading1"/>
        <w:spacing w:after="160" w:before="400"/>
      </w:pPr>
      <w:r>
        <w:rPr>
          <w:rFonts w:ascii="Arial" w:cs="Arial" w:eastAsia="Arial" w:hAnsi="Arial"/>
          <w:b/>
          <w:bCs/>
          <w:sz w:val="32"/>
          <w:szCs w:val="32"/>
        </w:rPr>
        <w:t xml:space="preserve">2. Scope and Geographic Unit</w:t>
      </w:r>
    </w:p>
    <w:p>
      <w:pPr>
        <w:spacing w:after="80" w:before="80"/>
        <w:jc w:val="both"/>
      </w:pPr>
      <w:r>
        <w:rPr>
          <w:rFonts w:ascii="Arial" w:cs="Arial" w:eastAsia="Arial" w:hAnsi="Arial"/>
          <w:sz w:val="22"/>
          <w:szCs w:val="22"/>
        </w:rPr>
        <w:t xml:space="preserve">The unit of analysis is the Distribution Network Operator (DNO) licence area. There are 14 DNO licence areas across Great Britain, operated by six licensed companies. This level of granularity is appropriate for three reasons: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It maps directly to available Ofgem performance and investment data, which is published at DNO level under the RIIO-ED2 price control framework.</w:t>
      </w:r>
    </w:p>
    <w:p>
      <w:pPr>
        <w:pStyle w:val="ListParagraph"/>
        <w:numPr>
          <w:ilvl w:val="0"/>
          <w:numId w:val="2"/>
        </w:numPr>
        <w:spacing w:after="60" w:before="60"/>
      </w:pPr>
      <w:r>
        <w:rPr>
          <w:rFonts w:ascii="Arial" w:cs="Arial" w:eastAsia="Arial" w:hAnsi="Arial"/>
          <w:sz w:val="22"/>
          <w:szCs w:val="22"/>
        </w:rPr>
        <w:t xml:space="preserve">DNO boundaries correspond to real regulatory and operational decision-making units, meaning scores are actionable rather than illustrative.</w:t>
      </w:r>
    </w:p>
    <w:p>
      <w:pPr>
        <w:pStyle w:val="ListParagraph"/>
        <w:numPr>
          <w:ilvl w:val="0"/>
          <w:numId w:val="2"/>
        </w:numPr>
        <w:spacing w:after="60" w:before="60"/>
      </w:pPr>
      <w:r>
        <w:rPr>
          <w:rFonts w:ascii="Arial" w:cs="Arial" w:eastAsia="Arial" w:hAnsi="Arial"/>
          <w:sz w:val="22"/>
          <w:szCs w:val="22"/>
        </w:rPr>
        <w:t xml:space="preserve">The number of zones (14) is large enough to produce meaningful rankings but small enough to be tractable for a first-pass MCDA model.</w:t>
      </w:r>
    </w:p>
    <w:p>
      <w:pPr>
        <w:spacing w:after="80" w:before="80"/>
      </w:pPr>
      <w:r>
        <w:t xml:space="preserve"/>
      </w:r>
    </w:p>
    <w:p>
      <w:pPr>
        <w:spacing w:after="80" w:before="80"/>
        <w:jc w:val="both"/>
      </w:pPr>
      <w:r>
        <w:rPr>
          <w:rFonts w:ascii="Arial" w:cs="Arial" w:eastAsia="Arial" w:hAnsi="Arial"/>
          <w:sz w:val="22"/>
          <w:szCs w:val="22"/>
        </w:rPr>
        <w:t xml:space="preserve">Sub-DNO analysis (e.g. at primary substation or grid supply point level) is identified as a direction for future work but is out of scope for this iteration due to data availability constraints.</w:t>
      </w:r>
    </w:p>
    <w:p>
      <w:pPr>
        <w:spacing w:after="80" w:before="80"/>
      </w:pPr>
      <w:r>
        <w:t xml:space="preserve"/>
      </w:r>
    </w:p>
    <w:p>
      <w:pPr>
        <w:pStyle w:val="Heading1"/>
        <w:spacing w:after="160" w:before="400"/>
      </w:pPr>
      <w:r>
        <w:rPr>
          <w:rFonts w:ascii="Arial" w:cs="Arial" w:eastAsia="Arial" w:hAnsi="Arial"/>
          <w:b/>
          <w:bCs/>
          <w:sz w:val="32"/>
          <w:szCs w:val="32"/>
        </w:rPr>
        <w:t xml:space="preserve">3. Scoring Framework</w:t>
      </w:r>
    </w:p>
    <w:p>
      <w:pPr>
        <w:spacing w:after="80" w:before="80"/>
        <w:jc w:val="both"/>
      </w:pPr>
      <w:r>
        <w:rPr>
          <w:rFonts w:ascii="Arial" w:cs="Arial" w:eastAsia="Arial" w:hAnsi="Arial"/>
          <w:sz w:val="22"/>
          <w:szCs w:val="22"/>
        </w:rPr>
        <w:t xml:space="preserve">The scoring model follows a Multi-Criteria Decision Analysis (MCDA) approach, specifically a Weighted Additive model (WADD). This method is selected over more complex alternatives (e.g. TOPSIS, ELECTRE, AHP) on the grounds of transparency, reproducibility, and interpretability for a policy-facing audience. As Wang et al. (2009) note in their survey of MCDA applications in sustainable energy, equal or simple weighted sum approaches remain the most widely used in practice precisely because stakeholders can interrogate and challenge them.</w:t>
      </w:r>
    </w:p>
    <w:p>
      <w:pPr>
        <w:spacing w:after="80" w:before="80"/>
      </w:pPr>
      <w:r>
        <w:t xml:space="preserve"/>
      </w:r>
    </w:p>
    <w:p>
      <w:pPr>
        <w:spacing w:after="80" w:before="80"/>
        <w:jc w:val="both"/>
      </w:pPr>
      <w:r>
        <w:rPr>
          <w:rFonts w:ascii="Arial" w:cs="Arial" w:eastAsia="Arial" w:hAnsi="Arial"/>
          <w:sz w:val="22"/>
          <w:szCs w:val="22"/>
        </w:rPr>
        <w:t xml:space="preserve">The composite score for each DNO zone is computed as:</w:t>
      </w:r>
    </w:p>
    <w:p>
      <w:pPr>
        <w:spacing w:after="80" w:before="80"/>
      </w:pPr>
      <w:r>
        <w:t xml:space="preserve"/>
      </w:r>
    </w:p>
    <w:p>
      <w:pPr>
        <w:spacing w:after="160" w:before="160"/>
        <w:jc w:val="center"/>
      </w:pPr>
      <w:r>
        <w:rPr>
          <w:rFonts w:ascii="Courier New" w:cs="Courier New" w:eastAsia="Courier New" w:hAnsi="Courier New"/>
          <w:b/>
          <w:bCs/>
          <w:sz w:val="24"/>
          <w:szCs w:val="24"/>
        </w:rPr>
        <w:t xml:space="preserve">Score(z) = w₁·D₁(z) + w₂·D₂(z) + w₃·D₃(z) + w₄·D₄(z) + w₅·D₅(z)</w:t>
      </w:r>
    </w:p>
    <w:p>
      <w:pPr>
        <w:spacing w:after="80" w:before="80"/>
        <w:jc w:val="both"/>
      </w:pPr>
      <w:r>
        <w:rPr>
          <w:rFonts w:ascii="Arial" w:cs="Arial" w:eastAsia="Arial" w:hAnsi="Arial"/>
          <w:sz w:val="22"/>
          <w:szCs w:val="22"/>
        </w:rPr>
        <w:t xml:space="preserve">Where D₁–D₅ are normalised dimension scores (0–1 scale) and w₁–w₅ are user-configurable weights that sum to 1. All normalisation uses min-max scaling across the 14 zones.</w:t>
      </w:r>
    </w:p>
    <w:p>
      <w:pPr>
        <w:spacing w:after="80" w:before="80"/>
      </w:pPr>
      <w:r>
        <w:t xml:space="preserve"/>
      </w:r>
    </w:p>
    <w:p>
      <w:pPr>
        <w:pStyle w:val="Heading1"/>
        <w:spacing w:after="160" w:before="400"/>
      </w:pPr>
      <w:r>
        <w:rPr>
          <w:rFonts w:ascii="Arial" w:cs="Arial" w:eastAsia="Arial" w:hAnsi="Arial"/>
          <w:b/>
          <w:bCs/>
          <w:sz w:val="32"/>
          <w:szCs w:val="32"/>
        </w:rPr>
        <w:t xml:space="preserve">4. Scoring Dimensions</w:t>
      </w:r>
    </w:p>
    <w:p>
      <w:pPr>
        <w:spacing w:after="80" w:before="80"/>
        <w:jc w:val="both"/>
      </w:pPr>
      <w:r>
        <w:rPr>
          <w:rFonts w:ascii="Arial" w:cs="Arial" w:eastAsia="Arial" w:hAnsi="Arial"/>
          <w:sz w:val="22"/>
          <w:szCs w:val="22"/>
        </w:rPr>
        <w:t xml:space="preserve">Five dimensions are included in the baseline model. Each is defined below with its rationale, data source, and direction of scoring (higher = more investable).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2000"/>
        <w:gridCol w:w="2000"/>
      </w:tblGrid>
      <w:tr>
        <w:trPr>
          <w:tblHeader/>
        </w:trPr>
        <w:tc>
          <w:tcPr>
            <w:tcW w:type="dxa" w:w="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D1</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Renewable Headroom</w:t>
            </w:r>
          </w:p>
        </w:tc>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Available grid capacity for new renewable connections relative to current peak demand, as a proxy for connection feasibility</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Ofgem RIIO-ED2 Network Performance Data; DNO Distribution Future Energy Scenarios (DFES)</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Higher headroom → higher score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Constraint Severity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Frequency and volume of constraint events that curtail renewable dispatch; derived from NESO constraint cost and volume data published in the Electricity Market Reform transparency portal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National Energy System Operator (NESO) Open Data Portal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constraint severity → higher score</w:t>
            </w:r>
          </w:p>
        </w:tc>
      </w:tr>
      <w:tr>
        <w:tc>
          <w:tcPr>
            <w:tcW w:type="dxa" w:w="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D3</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Demand Growth Trajectory</w:t>
            </w:r>
          </w:p>
        </w:tc>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Rate of EV, heat pump, and low-carbon technology uptake as a forward indicator of future network load and investment need</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ONS EV registration data by region; DESNZ Energy Statistics; DNO DFES scenarios</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Higher growth → higher score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Socioeconomic Vulnerability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of Multiple Deprivation (IMD) score aggregated to DNO zone level, weighted by population. Captures the just transition dimension: zones with higher deprivation have greater need for affordable clean energy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ONS Index of Multiple Deprivation (England, Scotland, Wales – separate indices, harmonised)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deprivation → higher score (reflecting investment need)</w:t>
            </w:r>
          </w:p>
        </w:tc>
      </w:tr>
      <w:tr>
        <w:tc>
          <w:tcPr>
            <w:tcW w:type="dxa" w:w="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D5</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Carbon Intensity</w:t>
            </w:r>
          </w:p>
        </w:tc>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Average grid carbon intensity (gCO₂eq/kWh) for the DNO zone, derived from NESO regional carbon intensity data. Higher intensity zones offer greater marginal abatement value from renewable investment</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NESO Carbon Intensity API (api.carbonintensity.org.uk)</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Higher intensity → higher score</w:t>
            </w:r>
          </w:p>
        </w:tc>
      </w:tr>
    </w:tbl>
    <w:p>
      <w:pPr>
        <w:spacing w:after="80" w:before="80"/>
      </w:pPr>
      <w:r>
        <w:t xml:space="preserve"/>
      </w:r>
    </w:p>
    <w:p>
      <w:pPr>
        <w:pStyle w:val="Heading1"/>
        <w:spacing w:after="160" w:before="400"/>
      </w:pPr>
      <w:r>
        <w:rPr>
          <w:rFonts w:ascii="Arial" w:cs="Arial" w:eastAsia="Arial" w:hAnsi="Arial"/>
          <w:b/>
          <w:bCs/>
          <w:sz w:val="32"/>
          <w:szCs w:val="32"/>
        </w:rPr>
        <w:t xml:space="preserve">5. Weighting Scenarios</w:t>
      </w:r>
    </w:p>
    <w:p>
      <w:pPr>
        <w:spacing w:after="80" w:before="80"/>
        <w:jc w:val="both"/>
      </w:pPr>
      <w:r>
        <w:rPr>
          <w:rFonts w:ascii="Arial" w:cs="Arial" w:eastAsia="Arial" w:hAnsi="Arial"/>
          <w:sz w:val="22"/>
          <w:szCs w:val="22"/>
        </w:rPr>
        <w:t xml:space="preserve">A core methodological contribution of this project is the treatment of weights as explicit value judgements rather than hidden assumptions. Three baseline scenarios are defined:</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100"/>
        <w:gridCol w:w="900"/>
        <w:gridCol w:w="1200"/>
        <w:gridCol w:w="1100"/>
        <w:gridCol w:w="2000"/>
      </w:tblGrid>
      <w:tr>
        <w:trPr>
          <w:tblHeader/>
        </w:trPr>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D1 Renew.</w:t>
            </w:r>
          </w:p>
        </w:tc>
        <w:tc>
          <w:tcPr>
            <w:tcW w:type="dxa" w:w="11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D2 Constraint</w:t>
            </w:r>
          </w:p>
        </w:tc>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D3 Demand</w:t>
            </w:r>
          </w:p>
        </w:tc>
        <w:tc>
          <w:tcPr>
            <w:tcW w:type="dxa" w:w="1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D4 Vulnerability</w:t>
            </w:r>
          </w:p>
        </w:tc>
        <w:tc>
          <w:tcPr>
            <w:tcW w:type="dxa" w:w="11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D5 Carbon</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S1: Equal Weights</w:t>
            </w:r>
          </w:p>
        </w:tc>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0.20</w:t>
            </w:r>
          </w:p>
        </w:tc>
        <w:tc>
          <w:tcPr>
            <w:tcW w:type="dxa" w:w="1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0.20</w:t>
            </w:r>
          </w:p>
        </w:tc>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0.20</w:t>
            </w:r>
          </w:p>
        </w:tc>
        <w:tc>
          <w:tcPr>
            <w:tcW w:type="dxa" w:w="1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0.20</w:t>
            </w:r>
          </w:p>
        </w:tc>
        <w:tc>
          <w:tcPr>
            <w:tcW w:type="dxa" w:w="1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0.20</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Neutral baseline; no a priori preference between dimensions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S2: Investor-Focused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Prioritises connection feasibility and demand growth; reflects a commercial renewable developer perspective</w:t>
            </w:r>
          </w:p>
        </w:tc>
      </w:tr>
      <w:tr>
        <w:tc>
          <w:tcPr>
            <w:tcW w:type="dxa" w:w="1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S3: Just Transition</w:t>
            </w:r>
          </w:p>
        </w:tc>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0.15</w:t>
            </w:r>
          </w:p>
        </w:tc>
        <w:tc>
          <w:tcPr>
            <w:tcW w:type="dxa" w:w="1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0.15</w:t>
            </w:r>
          </w:p>
        </w:tc>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0.20</w:t>
            </w:r>
          </w:p>
        </w:tc>
        <w:tc>
          <w:tcPr>
            <w:tcW w:type="dxa" w:w="1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0.35</w:t>
            </w:r>
          </w:p>
        </w:tc>
        <w:tc>
          <w:tcPr>
            <w:tcW w:type="dxa" w:w="1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0.15</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Elevates socioeconomic vulnerability; reflects a policy or social infrastructure investor perspective</w:t>
            </w:r>
          </w:p>
        </w:tc>
      </w:tr>
    </w:tbl>
    <w:p>
      <w:pPr>
        <w:spacing w:after="80" w:before="80"/>
      </w:pPr>
      <w:r>
        <w:t xml:space="preserve"/>
      </w:r>
    </w:p>
    <w:p>
      <w:pPr>
        <w:spacing w:after="80" w:before="80"/>
        <w:jc w:val="both"/>
      </w:pPr>
      <w:r>
        <w:rPr>
          <w:rFonts w:ascii="Arial" w:cs="Arial" w:eastAsia="Arial" w:hAnsi="Arial"/>
          <w:sz w:val="22"/>
          <w:szCs w:val="22"/>
        </w:rPr>
        <w:t xml:space="preserve">In addition to these three fixed scenarios, the deployed application will allow users to set custom weights interactively via sliders. The live sensitivity of zone rankings to weight changes is itself a finding: zones that rank consistently across scenarios represent robust investment priorities regardless of the value framework applied.</w:t>
      </w:r>
    </w:p>
    <w:p>
      <w:pPr>
        <w:spacing w:after="80" w:before="80"/>
      </w:pPr>
      <w:r>
        <w:t xml:space="preserve"/>
      </w:r>
    </w:p>
    <w:p>
      <w:pPr>
        <w:pStyle w:val="Heading1"/>
        <w:spacing w:after="160" w:before="400"/>
      </w:pPr>
      <w:r>
        <w:rPr>
          <w:rFonts w:ascii="Arial" w:cs="Arial" w:eastAsia="Arial" w:hAnsi="Arial"/>
          <w:b/>
          <w:bCs/>
          <w:sz w:val="32"/>
          <w:szCs w:val="32"/>
        </w:rPr>
        <w:t xml:space="preserve">6. Normalisation Approach</w:t>
      </w:r>
    </w:p>
    <w:p>
      <w:pPr>
        <w:spacing w:after="80" w:before="80"/>
        <w:jc w:val="both"/>
      </w:pPr>
      <w:r>
        <w:rPr>
          <w:rFonts w:ascii="Arial" w:cs="Arial" w:eastAsia="Arial" w:hAnsi="Arial"/>
          <w:sz w:val="22"/>
          <w:szCs w:val="22"/>
        </w:rPr>
        <w:t xml:space="preserve">All dimension scores are normalised to a 0–1 range using min-max scaling before weighting:</w:t>
      </w:r>
    </w:p>
    <w:p>
      <w:pPr>
        <w:spacing w:after="80" w:before="80"/>
      </w:pPr>
      <w:r>
        <w:t xml:space="preserve"/>
      </w:r>
    </w:p>
    <w:p>
      <w:pPr>
        <w:spacing w:after="160" w:before="160"/>
        <w:jc w:val="center"/>
      </w:pPr>
      <w:r>
        <w:rPr>
          <w:rFonts w:ascii="Courier New" w:cs="Courier New" w:eastAsia="Courier New" w:hAnsi="Courier New"/>
          <w:b/>
          <w:bCs/>
          <w:sz w:val="24"/>
          <w:szCs w:val="24"/>
        </w:rPr>
        <w:t xml:space="preserve">D_norm = (x – x_min) / (x_max – x_min)</w:t>
      </w:r>
    </w:p>
    <w:p>
      <w:pPr>
        <w:spacing w:after="80" w:before="80"/>
        <w:jc w:val="both"/>
      </w:pPr>
      <w:r>
        <w:rPr>
          <w:rFonts w:ascii="Arial" w:cs="Arial" w:eastAsia="Arial" w:hAnsi="Arial"/>
          <w:sz w:val="22"/>
          <w:szCs w:val="22"/>
        </w:rPr>
        <w:t xml:space="preserve">For inverse dimensions (where lower raw values indicate better investability, such as constraint severity), the formula is reversed:</w:t>
      </w:r>
    </w:p>
    <w:p>
      <w:pPr>
        <w:spacing w:after="80" w:before="80"/>
      </w:pPr>
      <w:r>
        <w:t xml:space="preserve"/>
      </w:r>
    </w:p>
    <w:p>
      <w:pPr>
        <w:spacing w:after="160" w:before="160"/>
        <w:jc w:val="center"/>
      </w:pPr>
      <w:r>
        <w:rPr>
          <w:rFonts w:ascii="Courier New" w:cs="Courier New" w:eastAsia="Courier New" w:hAnsi="Courier New"/>
          <w:b/>
          <w:bCs/>
          <w:sz w:val="24"/>
          <w:szCs w:val="24"/>
        </w:rPr>
        <w:t xml:space="preserve">D_norm = 1 – (x – x_min) / (x_max – x_min)</w:t>
      </w:r>
    </w:p>
    <w:p>
      <w:pPr>
        <w:spacing w:after="80" w:before="80"/>
        <w:jc w:val="both"/>
      </w:pPr>
      <w:r>
        <w:rPr>
          <w:rFonts w:ascii="Arial" w:cs="Arial" w:eastAsia="Arial" w:hAnsi="Arial"/>
          <w:sz w:val="22"/>
          <w:szCs w:val="22"/>
        </w:rPr>
        <w:t xml:space="preserve">All transformation decisions will be documented in the pipeline code and referenced in Section 4 of the final report. This ensures full reproducibility.</w:t>
      </w:r>
    </w:p>
    <w:p>
      <w:pPr>
        <w:spacing w:after="80" w:before="80"/>
      </w:pPr>
      <w:r>
        <w:t xml:space="preserve"/>
      </w:r>
    </w:p>
    <w:p>
      <w:pPr>
        <w:pStyle w:val="Heading1"/>
        <w:spacing w:after="160" w:before="400"/>
      </w:pPr>
      <w:r>
        <w:rPr>
          <w:rFonts w:ascii="Arial" w:cs="Arial" w:eastAsia="Arial" w:hAnsi="Arial"/>
          <w:b/>
          <w:bCs/>
          <w:sz w:val="32"/>
          <w:szCs w:val="32"/>
        </w:rPr>
        <w:t xml:space="preserve">7. Data Sources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gridCol w:w="1200"/>
        <w:gridCol w:w="2800"/>
      </w:tblGrid>
      <w:tr>
        <w:trPr>
          <w:tblHeader/>
        </w:trPr>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Data Used</w:t>
            </w:r>
          </w:p>
        </w:tc>
        <w:tc>
          <w:tcPr>
            <w:tcW w:type="dxa" w:w="1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c>
          <w:tcPr>
            <w:tcW w:type="dxa" w:w="2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1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Ofgem Data Portal</w:t>
            </w:r>
          </w:p>
        </w:tc>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RIIO-ED2 network performance; connection queue volumes</w:t>
            </w:r>
          </w:p>
        </w:tc>
        <w:tc>
          <w:tcPr>
            <w:tcW w:type="dxa" w:w="1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CSV / Excel</w:t>
            </w:r>
          </w:p>
        </w:tc>
        <w:tc>
          <w:tcPr>
            <w:tcW w:type="dxa" w:w="1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Annual</w:t>
            </w:r>
          </w:p>
        </w:tc>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ofgem.gov.uk/data-portal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NESO Open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constraints by region; carbon intensity by DNO area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(JSON) + 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 real-time / Annual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api.carbonintensity.org.uk; nationalgrideso.com/data-portal</w:t>
            </w:r>
          </w:p>
        </w:tc>
      </w:tr>
      <w:tr>
        <w:tc>
          <w:tcPr>
            <w:tcW w:type="dxa" w:w="1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ONS</w:t>
            </w:r>
          </w:p>
        </w:tc>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Index of Multiple Deprivation; population by area; EV registrations</w:t>
            </w:r>
          </w:p>
        </w:tc>
        <w:tc>
          <w:tcPr>
            <w:tcW w:type="dxa" w:w="1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CSV</w:t>
            </w:r>
          </w:p>
        </w:tc>
        <w:tc>
          <w:tcPr>
            <w:tcW w:type="dxa" w:w="1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Annual / periodic</w:t>
            </w:r>
          </w:p>
        </w:tc>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ons.gov.uk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DESNZ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Regional renewable capacity; energy statistics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 Excel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gov.uk/government/collections/energy-statistics</w:t>
            </w:r>
          </w:p>
        </w:tc>
      </w:tr>
      <w:tr>
        <w:tc>
          <w:tcPr>
            <w:tcW w:type="dxa" w:w="1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DNO DFES Reports</w:t>
            </w:r>
          </w:p>
        </w:tc>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Future energy scenario projections by licence area</w:t>
            </w:r>
          </w:p>
        </w:tc>
        <w:tc>
          <w:tcPr>
            <w:tcW w:type="dxa" w:w="1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PDF / Excel</w:t>
            </w:r>
          </w:p>
        </w:tc>
        <w:tc>
          <w:tcPr>
            <w:tcW w:type="dxa" w:w="1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Annual</w:t>
            </w:r>
          </w:p>
        </w:tc>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Each DNO publishes independently</w:t>
            </w:r>
          </w:p>
        </w:tc>
      </w:tr>
    </w:tbl>
    <w:p>
      <w:pPr>
        <w:spacing w:after="80" w:before="80"/>
      </w:pPr>
      <w:r>
        <w:t xml:space="preserve"/>
      </w:r>
    </w:p>
    <w:p>
      <w:pPr>
        <w:pStyle w:val="Heading1"/>
        <w:spacing w:after="160" w:before="400"/>
      </w:pPr>
      <w:r>
        <w:rPr>
          <w:rFonts w:ascii="Arial" w:cs="Arial" w:eastAsia="Arial" w:hAnsi="Arial"/>
          <w:b/>
          <w:bCs/>
          <w:sz w:val="32"/>
          <w:szCs w:val="32"/>
        </w:rPr>
        <w:t xml:space="preserve">8. Known Limitations</w:t>
      </w:r>
    </w:p>
    <w:p>
      <w:pPr>
        <w:spacing w:after="80" w:before="80"/>
        <w:jc w:val="both"/>
      </w:pPr>
      <w:r>
        <w:rPr>
          <w:rFonts w:ascii="Arial" w:cs="Arial" w:eastAsia="Arial" w:hAnsi="Arial"/>
          <w:sz w:val="22"/>
          <w:szCs w:val="22"/>
        </w:rPr>
        <w:t xml:space="preserve">The following limitations are acknowledged upfront and will be discussed in the report:</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DNO zone boundaries do not correspond to Local Authority or ONS geographies, requiring spatial aggregation of deprivation data that introduces approximation error.</w:t>
      </w:r>
    </w:p>
    <w:p>
      <w:pPr>
        <w:pStyle w:val="ListParagraph"/>
        <w:numPr>
          <w:ilvl w:val="0"/>
          <w:numId w:val="2"/>
        </w:numPr>
        <w:spacing w:after="60" w:before="60"/>
      </w:pPr>
      <w:r>
        <w:rPr>
          <w:rFonts w:ascii="Arial" w:cs="Arial" w:eastAsia="Arial" w:hAnsi="Arial"/>
          <w:sz w:val="22"/>
          <w:szCs w:val="22"/>
        </w:rPr>
        <w:t xml:space="preserve">RIIO-ED2 data reflects regulatory allowances, not real-time network conditions. Actual headroom may differ from reported figures.</w:t>
      </w:r>
    </w:p>
    <w:p>
      <w:pPr>
        <w:pStyle w:val="ListParagraph"/>
        <w:numPr>
          <w:ilvl w:val="0"/>
          <w:numId w:val="2"/>
        </w:numPr>
        <w:spacing w:after="60" w:before="60"/>
      </w:pPr>
      <w:r>
        <w:rPr>
          <w:rFonts w:ascii="Arial" w:cs="Arial" w:eastAsia="Arial" w:hAnsi="Arial"/>
          <w:sz w:val="22"/>
          <w:szCs w:val="22"/>
        </w:rPr>
        <w:t xml:space="preserve">The model is static: it scores zones at a point in time rather than modelling dynamic change. A time-series extension is identified as future work.</w:t>
      </w:r>
    </w:p>
    <w:p>
      <w:pPr>
        <w:pStyle w:val="ListParagraph"/>
        <w:numPr>
          <w:ilvl w:val="0"/>
          <w:numId w:val="2"/>
        </w:numPr>
        <w:spacing w:after="60" w:before="60"/>
      </w:pPr>
      <w:r>
        <w:rPr>
          <w:rFonts w:ascii="Arial" w:cs="Arial" w:eastAsia="Arial" w:hAnsi="Arial"/>
          <w:sz w:val="22"/>
          <w:szCs w:val="22"/>
        </w:rPr>
        <w:t xml:space="preserve">Equal treatment of DNO zones ignores their differing sizes and customer numbers. A population-weighted variant is noted as an extension.</w:t>
      </w:r>
    </w:p>
    <w:p>
      <w:pPr>
        <w:pStyle w:val="ListParagraph"/>
        <w:numPr>
          <w:ilvl w:val="0"/>
          <w:numId w:val="2"/>
        </w:numPr>
        <w:spacing w:after="60" w:before="60"/>
      </w:pPr>
      <w:r>
        <w:rPr>
          <w:rFonts w:ascii="Arial" w:cs="Arial" w:eastAsia="Arial" w:hAnsi="Arial"/>
          <w:sz w:val="22"/>
          <w:szCs w:val="22"/>
        </w:rPr>
        <w:t xml:space="preserve">The MCDA weighted additive approach assumes linear preferences and no interaction effects between dimensions. More sophisticated methods (e.g. AHP, TOPSIS) could address this at the cost of transparency.</w:t>
      </w:r>
    </w:p>
    <w:p>
      <w:pPr>
        <w:spacing w:after="80" w:before="80"/>
      </w:pPr>
      <w:r>
        <w:t xml:space="preserve"/>
      </w:r>
    </w:p>
    <w:p>
      <w:pPr>
        <w:pStyle w:val="Heading1"/>
        <w:spacing w:after="160" w:before="400"/>
      </w:pPr>
      <w:r>
        <w:rPr>
          <w:rFonts w:ascii="Arial" w:cs="Arial" w:eastAsia="Arial" w:hAnsi="Arial"/>
          <w:b/>
          <w:bCs/>
          <w:sz w:val="32"/>
          <w:szCs w:val="32"/>
        </w:rPr>
        <w:t xml:space="preserve">9. Starting Bibliography</w:t>
      </w:r>
    </w:p>
    <w:p>
      <w:pPr>
        <w:spacing w:after="80" w:before="80"/>
        <w:jc w:val="both"/>
      </w:pPr>
      <w:r>
        <w:rPr>
          <w:rFonts w:ascii="Arial" w:cs="Arial" w:eastAsia="Arial" w:hAnsi="Arial"/>
          <w:sz w:val="22"/>
          <w:szCs w:val="22"/>
        </w:rPr>
        <w:t xml:space="preserve">The following sources inform the methodological framing and will be developed in the literature review section of the final report:</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Wang, J-J. et al. (2009). Review on multi-criteria decision analysis aid in sustainable energy decision-making. Renewable and Sustainable Energy Reviews, 13(9), 2263–2278.</w:t>
      </w:r>
    </w:p>
    <w:p>
      <w:pPr>
        <w:pStyle w:val="ListParagraph"/>
        <w:numPr>
          <w:ilvl w:val="0"/>
          <w:numId w:val="2"/>
        </w:numPr>
        <w:spacing w:after="60" w:before="60"/>
      </w:pPr>
      <w:r>
        <w:rPr>
          <w:rFonts w:ascii="Arial" w:cs="Arial" w:eastAsia="Arial" w:hAnsi="Arial"/>
          <w:sz w:val="22"/>
          <w:szCs w:val="22"/>
        </w:rPr>
        <w:t xml:space="preserve">Pohekar, S.D. &amp; Ramachandran, M. (2004). Application of multi-criteria decision making to sustainable energy planning: A review. Renewable and Sustainable Energy Reviews, 8(4), 365–381.</w:t>
      </w:r>
    </w:p>
    <w:p>
      <w:pPr>
        <w:pStyle w:val="ListParagraph"/>
        <w:numPr>
          <w:ilvl w:val="0"/>
          <w:numId w:val="2"/>
        </w:numPr>
        <w:spacing w:after="60" w:before="60"/>
      </w:pPr>
      <w:r>
        <w:rPr>
          <w:rFonts w:ascii="Arial" w:cs="Arial" w:eastAsia="Arial" w:hAnsi="Arial"/>
          <w:sz w:val="22"/>
          <w:szCs w:val="22"/>
        </w:rPr>
        <w:t xml:space="preserve">Kaya, T. &amp; Kahraman, C. (2010). Multicriteria renewable energy planning using an integrated fuzzy VIKOR &amp; AHP methodology: The case of Istanbul. Energy, 35(6), 2517–2527.</w:t>
      </w:r>
    </w:p>
    <w:p>
      <w:pPr>
        <w:pStyle w:val="ListParagraph"/>
        <w:numPr>
          <w:ilvl w:val="0"/>
          <w:numId w:val="2"/>
        </w:numPr>
        <w:spacing w:after="60" w:before="60"/>
      </w:pPr>
      <w:r>
        <w:rPr>
          <w:rFonts w:ascii="Arial" w:cs="Arial" w:eastAsia="Arial" w:hAnsi="Arial"/>
          <w:sz w:val="22"/>
          <w:szCs w:val="22"/>
        </w:rPr>
        <w:t xml:space="preserve">Grantham Research Institute (LSE). (2019). Investing in a just transition in the UK. London School of Economics.</w:t>
      </w:r>
    </w:p>
    <w:p>
      <w:pPr>
        <w:pStyle w:val="ListParagraph"/>
        <w:numPr>
          <w:ilvl w:val="0"/>
          <w:numId w:val="2"/>
        </w:numPr>
        <w:spacing w:after="60" w:before="60"/>
      </w:pPr>
      <w:r>
        <w:rPr>
          <w:rFonts w:ascii="Arial" w:cs="Arial" w:eastAsia="Arial" w:hAnsi="Arial"/>
          <w:sz w:val="22"/>
          <w:szCs w:val="22"/>
        </w:rPr>
        <w:t xml:space="preserve">Ofgem. (2022). RIIO-ED2 Final Determinations. Office of Gas and Electricity Markets.</w:t>
      </w:r>
    </w:p>
    <w:p>
      <w:pPr>
        <w:pStyle w:val="ListParagraph"/>
        <w:numPr>
          <w:ilvl w:val="0"/>
          <w:numId w:val="2"/>
        </w:numPr>
        <w:spacing w:after="60" w:before="60"/>
      </w:pPr>
      <w:r>
        <w:rPr>
          <w:rFonts w:ascii="Arial" w:cs="Arial" w:eastAsia="Arial" w:hAnsi="Arial"/>
          <w:sz w:val="22"/>
          <w:szCs w:val="22"/>
        </w:rPr>
        <w:t xml:space="preserve">NESO. (2024). Carbon Intensity API Documentation. National Energy System Operator.</w:t>
      </w:r>
    </w:p>
    <w:p>
      <w:pPr>
        <w:pStyle w:val="ListParagraph"/>
        <w:numPr>
          <w:ilvl w:val="0"/>
          <w:numId w:val="2"/>
        </w:numPr>
        <w:spacing w:after="60" w:before="60"/>
      </w:pPr>
      <w:r>
        <w:rPr>
          <w:rFonts w:ascii="Arial" w:cs="Arial" w:eastAsia="Arial" w:hAnsi="Arial"/>
          <w:sz w:val="22"/>
          <w:szCs w:val="22"/>
        </w:rPr>
        <w:t xml:space="preserve">Arup / Cambridge Econometrics. (2026). Gridunlocked: Unlocking the benefits of investing in the electricity grid.</w:t>
      </w:r>
    </w:p>
    <w:p>
      <w:pPr>
        <w:pStyle w:val="ListParagraph"/>
        <w:numPr>
          <w:ilvl w:val="0"/>
          <w:numId w:val="2"/>
        </w:numPr>
        <w:spacing w:after="60" w:before="60"/>
      </w:pPr>
      <w:r>
        <w:rPr>
          <w:rFonts w:ascii="Arial" w:cs="Arial" w:eastAsia="Arial" w:hAnsi="Arial"/>
          <w:sz w:val="22"/>
          <w:szCs w:val="22"/>
        </w:rPr>
        <w:t xml:space="preserve">Tercan, E. et al. (2020). A review of multi-criteria decision making applications for renewable energy site selection. Renewable Energy, 152, 1107–1117.</w:t>
      </w:r>
    </w:p>
    <w:p>
      <w:pPr>
        <w:spacing w:after="80" w:before="80"/>
      </w:pPr>
      <w:r>
        <w:t xml:space="preserve"/>
      </w:r>
    </w:p>
    <w:p>
      <w:pPr>
        <w:pBdr>
          <w:bottom w:val="single" w:color="1B5E20" w:sz="6" w:space="1"/>
        </w:pBdr>
        <w:spacing w:after="200" w:before="400"/>
      </w:pPr>
      <w:r>
        <w:t xml:space="preserve"/>
      </w:r>
    </w:p>
    <w:p>
      <w:pPr>
        <w:jc w:val="both"/>
      </w:pPr>
      <w:r>
        <w:rPr>
          <w:rFonts w:ascii="Arial" w:cs="Arial" w:eastAsia="Arial" w:hAnsi="Arial"/>
          <w:i/>
          <w:iCs/>
          <w:color w:val="888888"/>
          <w:sz w:val="18"/>
          <w:szCs w:val="18"/>
        </w:rPr>
        <w:t xml:space="preserve">This document is the Phase 1 deliverable for the GB Green Energy Investment Prioritisation Tool project. It should be reviewed before any code is written and updated iteratively as data exploration reveals constraints or opportunities.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2026-06-12T05:03:30.078Z</dcterms:created>
  <dcterms:modified xsi:type="dcterms:W3CDTF">2026-06-12T05:03:30.079Z</dcterms:modified>
</cp:coreProperties>
</file>

<file path=docProps/custom.xml><?xml version="1.0" encoding="utf-8"?>
<Properties xmlns="http://schemas.openxmlformats.org/officeDocument/2006/custom-properties" xmlns:vt="http://schemas.openxmlformats.org/officeDocument/2006/docPropsVTypes"/>
</file>