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rial" w:hAnsi="Arial"/>
          <w:b/>
          <w:color w:val="6366F1"/>
          <w:sz w:val="56"/>
        </w:rPr>
        <w:t>AXIONIX / FREESALEWIFI</w:t>
      </w:r>
    </w:p>
    <w:p>
      <w:pPr>
        <w:spacing w:after="480"/>
        <w:jc w:val="center"/>
      </w:pPr>
      <w:r>
        <w:rPr>
          <w:rFonts w:ascii="Arial" w:hAnsi="Arial"/>
          <w:i/>
          <w:color w:val="0F172A"/>
          <w:sz w:val="28"/>
        </w:rPr>
        <w:t>Full Frontend &amp; Backend Technical Architecture Document</w:t>
      </w:r>
    </w:p>
    <w:p>
      <w:pPr>
        <w:spacing w:after="480"/>
        <w:jc w:val="center"/>
      </w:pPr>
      <w:r>
        <w:rPr>
          <w:color w:val="E2E8F0"/>
        </w:rPr>
        <w:t>──────────────────────────────────────────────────</w:t>
      </w:r>
    </w:p>
    <w:p>
      <w:pPr>
        <w:keepNext/>
        <w:spacing w:before="360" w:after="120"/>
      </w:pPr>
      <w:r>
        <w:rPr>
          <w:rFonts w:ascii="Arial" w:hAnsi="Arial"/>
          <w:b/>
          <w:color w:val="6366F1"/>
          <w:sz w:val="32"/>
        </w:rPr>
        <w:t>1. Executive Summary</w:t>
      </w:r>
    </w:p>
    <w:p>
      <w:r>
        <w:t>AXIONIX is a proximity retail retail platform integrating local geofenced WiFi connectivity with real-time marketing push campaigns and analytical insights. Built on top of FreeSaleWiFi, the architecture bridges physical ESP32 wireless microcontrollers serving captive access portals with an asynchronous Python backend, synchronized with a real-time cloud Firestore database, and rendered onto a premium client administration control panel dashboard.</w:t>
      </w:r>
    </w:p>
    <w:p>
      <w:r>
        <w:t>The system registers visitors, detects signal status (wifi vs. geofence proximity), tracks lifetime LTV value, categorizes customers into VIP tiers (Platinum, Gold, Silver, Bronze), handles automated FCM push notification scheduling, and visualizes retail metrics.</w:t>
      </w:r>
    </w:p>
    <w:p>
      <w:pPr>
        <w:keepNext/>
        <w:spacing w:before="360" w:after="120"/>
      </w:pPr>
      <w:r>
        <w:rPr>
          <w:rFonts w:ascii="Arial" w:hAnsi="Arial"/>
          <w:b/>
          <w:color w:val="6366F1"/>
          <w:sz w:val="32"/>
        </w:rPr>
        <w:t>2. Backend Technology Stack &amp; Core Architecture</w:t>
      </w:r>
    </w:p>
    <w:p>
      <w:r>
        <w:t>The backend is developed in Python 3.13 utilizing the FastAPI framework to provide a highly performant, fully typed, and asynchronous RESTful API layer.</w:t>
      </w:r>
    </w:p>
    <w:p>
      <w:pPr>
        <w:keepNext/>
        <w:spacing w:before="240" w:after="80"/>
      </w:pPr>
      <w:r>
        <w:rPr>
          <w:rFonts w:ascii="Arial" w:hAnsi="Arial"/>
          <w:b/>
          <w:color w:val="0F172A"/>
          <w:sz w:val="26"/>
        </w:rPr>
        <w:t>2.1 Core Backend Components</w:t>
      </w:r>
    </w:p>
    <w:p>
      <w:pPr>
        <w:pStyle w:val="ListBullet"/>
        <w:spacing w:after="60"/>
      </w:pPr>
      <w:r>
        <w:rPr>
          <w:b/>
          <w:color w:val="0F172A"/>
        </w:rPr>
        <w:t xml:space="preserve">FastAPI &amp; Uvicorn: </w:t>
      </w:r>
      <w:r>
        <w:t>Provides high-speed, asynchronous HTTP routing endpoints with automatic Swagger/OpenAPI documentation.</w:t>
      </w:r>
    </w:p>
    <w:p>
      <w:pPr>
        <w:pStyle w:val="ListBullet"/>
        <w:spacing w:after="60"/>
      </w:pPr>
      <w:r>
        <w:rPr>
          <w:b/>
          <w:color w:val="0F172A"/>
        </w:rPr>
        <w:t xml:space="preserve">Pydantic Models: </w:t>
      </w:r>
      <w:r>
        <w:t>Utilized for strict schema enforcement, auto-casting, and request-body constraint validations.</w:t>
      </w:r>
    </w:p>
    <w:p>
      <w:pPr>
        <w:pStyle w:val="ListBullet"/>
        <w:spacing w:after="60"/>
      </w:pPr>
      <w:r>
        <w:rPr>
          <w:b/>
          <w:color w:val="0F172A"/>
        </w:rPr>
        <w:t xml:space="preserve">Firebase Admin SDK: </w:t>
      </w:r>
      <w:r>
        <w:t>Integrates with Firebase Firestore for database transactions and Firebase Cloud Messaging (FCM) to dispatch high-priority notifications to client terminals.</w:t>
      </w:r>
    </w:p>
    <w:p>
      <w:pPr>
        <w:pStyle w:val="ListBullet"/>
        <w:spacing w:after="60"/>
      </w:pPr>
      <w:r>
        <w:rPr>
          <w:b/>
          <w:color w:val="0F172A"/>
        </w:rPr>
        <w:t xml:space="preserve">Haversine Distance Calculator: </w:t>
      </w:r>
      <w:r>
        <w:t>Implements geofence radius checks, evaluating proximity (within 150m) between GPS coordinates of customer nodes and physical stores.</w:t>
      </w:r>
    </w:p>
    <w:p>
      <w:pPr>
        <w:keepNext/>
        <w:spacing w:before="240" w:after="80"/>
      </w:pPr>
      <w:r>
        <w:rPr>
          <w:rFonts w:ascii="Arial" w:hAnsi="Arial"/>
          <w:b/>
          <w:color w:val="0F172A"/>
          <w:sz w:val="26"/>
        </w:rPr>
        <w:t>2.2 Key REST API Endpoints</w:t>
      </w:r>
    </w:p>
    <w:tbl>
      <w:tblPr>
        <w:tblStyle w:val="LightShading-Accent1"/>
        <w:tblW w:type="auto" w:w="0"/>
        <w:tblLook w:firstColumn="1" w:firstRow="1" w:lastColumn="0" w:lastRow="0" w:noHBand="0" w:noVBand="1" w:val="04A0"/>
      </w:tblPr>
      <w:tblGrid>
        <w:gridCol w:w="3120"/>
        <w:gridCol w:w="3120"/>
        <w:gridCol w:w="3120"/>
      </w:tblGrid>
      <w:tr>
        <w:tc>
          <w:tcPr>
            <w:tcW w:type="dxa" w:w="3120"/>
            <w:shd w:fill="6366F1"/>
          </w:tcPr>
          <w:p>
            <w:pPr>
              <w:spacing w:after="40"/>
            </w:pPr>
            <w:r>
              <w:rPr>
                <w:b/>
                <w:color w:val="FFFFFF"/>
              </w:rPr>
              <w:t>Method / Route</w:t>
            </w:r>
          </w:p>
        </w:tc>
        <w:tc>
          <w:tcPr>
            <w:tcW w:type="dxa" w:w="3120"/>
            <w:shd w:fill="6366F1"/>
          </w:tcPr>
          <w:p>
            <w:pPr>
              <w:spacing w:after="40"/>
            </w:pPr>
            <w:r>
              <w:rPr>
                <w:b/>
                <w:color w:val="FFFFFF"/>
              </w:rPr>
              <w:t>Pydantic Schema</w:t>
            </w:r>
          </w:p>
        </w:tc>
        <w:tc>
          <w:tcPr>
            <w:tcW w:type="dxa" w:w="3120"/>
            <w:shd w:fill="6366F1"/>
          </w:tcPr>
          <w:p>
            <w:pPr>
              <w:spacing w:after="40"/>
            </w:pPr>
            <w:r>
              <w:rPr>
                <w:b/>
                <w:color w:val="FFFFFF"/>
              </w:rPr>
              <w:t>Description / Logic</w:t>
            </w:r>
          </w:p>
        </w:tc>
      </w:tr>
      <w:tr>
        <w:tc>
          <w:tcPr>
            <w:tcW w:type="dxa" w:w="3120"/>
          </w:tcPr>
          <w:p>
            <w:pPr>
              <w:spacing w:after="40"/>
            </w:pPr>
            <w:r>
              <w:rPr>
                <w:sz w:val="19"/>
              </w:rPr>
              <w:t>GET /health</w:t>
            </w:r>
          </w:p>
        </w:tc>
        <w:tc>
          <w:tcPr>
            <w:tcW w:type="dxa" w:w="3120"/>
          </w:tcPr>
          <w:p>
            <w:pPr>
              <w:spacing w:after="40"/>
            </w:pPr>
            <w:r>
              <w:rPr>
                <w:sz w:val="19"/>
              </w:rPr>
              <w:t>None</w:t>
            </w:r>
          </w:p>
        </w:tc>
        <w:tc>
          <w:tcPr>
            <w:tcW w:type="dxa" w:w="3120"/>
          </w:tcPr>
          <w:p>
            <w:pPr>
              <w:spacing w:after="40"/>
            </w:pPr>
            <w:r>
              <w:rPr>
                <w:sz w:val="19"/>
              </w:rPr>
              <w:t>Returns node status, active database clients, visit counts, and Firebase configuration status.</w:t>
            </w:r>
          </w:p>
        </w:tc>
      </w:tr>
      <w:tr>
        <w:tc>
          <w:tcPr>
            <w:tcW w:type="dxa" w:w="3120"/>
          </w:tcPr>
          <w:p>
            <w:pPr>
              <w:spacing w:after="40"/>
            </w:pPr>
            <w:r>
              <w:rPr>
                <w:sz w:val="19"/>
              </w:rPr>
              <w:t>POST /register-customer</w:t>
            </w:r>
          </w:p>
        </w:tc>
        <w:tc>
          <w:tcPr>
            <w:tcW w:type="dxa" w:w="3120"/>
          </w:tcPr>
          <w:p>
            <w:pPr>
              <w:spacing w:after="40"/>
            </w:pPr>
            <w:r>
              <w:rPr>
                <w:sz w:val="19"/>
              </w:rPr>
              <w:t>RegisterCustomerRequest</w:t>
            </w:r>
          </w:p>
        </w:tc>
        <w:tc>
          <w:tcPr>
            <w:tcW w:type="dxa" w:w="3120"/>
          </w:tcPr>
          <w:p>
            <w:pPr>
              <w:spacing w:after="40"/>
            </w:pPr>
            <w:r>
              <w:rPr>
                <w:sz w:val="19"/>
              </w:rPr>
              <w:t>Upserts visitor profile in Firestore, assigns auth keys, tracks last visits, and adds a record log.</w:t>
            </w:r>
          </w:p>
        </w:tc>
      </w:tr>
      <w:tr>
        <w:tc>
          <w:tcPr>
            <w:tcW w:type="dxa" w:w="3120"/>
          </w:tcPr>
          <w:p>
            <w:pPr>
              <w:spacing w:after="40"/>
            </w:pPr>
            <w:r>
              <w:rPr>
                <w:sz w:val="19"/>
              </w:rPr>
              <w:t>GET /customer/{user_id}</w:t>
            </w:r>
          </w:p>
        </w:tc>
        <w:tc>
          <w:tcPr>
            <w:tcW w:type="dxa" w:w="3120"/>
          </w:tcPr>
          <w:p>
            <w:pPr>
              <w:spacing w:after="40"/>
            </w:pPr>
            <w:r>
              <w:rPr>
                <w:sz w:val="19"/>
              </w:rPr>
              <w:t>None</w:t>
            </w:r>
          </w:p>
        </w:tc>
        <w:tc>
          <w:tcPr>
            <w:tcW w:type="dxa" w:w="3120"/>
          </w:tcPr>
          <w:p>
            <w:pPr>
              <w:spacing w:after="40"/>
            </w:pPr>
            <w:r>
              <w:rPr>
                <w:sz w:val="19"/>
              </w:rPr>
              <w:t>Retrieves complete customer dossier including purchase logs, interests, geofence checks, and AI recommendations.</w:t>
            </w:r>
          </w:p>
        </w:tc>
      </w:tr>
      <w:tr>
        <w:tc>
          <w:tcPr>
            <w:tcW w:type="dxa" w:w="3120"/>
          </w:tcPr>
          <w:p>
            <w:pPr>
              <w:spacing w:after="40"/>
            </w:pPr>
            <w:r>
              <w:rPr>
                <w:sz w:val="19"/>
              </w:rPr>
              <w:t>POST /trigger-wifi-offer</w:t>
            </w:r>
          </w:p>
        </w:tc>
        <w:tc>
          <w:tcPr>
            <w:tcW w:type="dxa" w:w="3120"/>
          </w:tcPr>
          <w:p>
            <w:pPr>
              <w:spacing w:after="40"/>
            </w:pPr>
            <w:r>
              <w:rPr>
                <w:sz w:val="19"/>
              </w:rPr>
              <w:t>TriggerWifiOfferRequest</w:t>
            </w:r>
          </w:p>
        </w:tc>
        <w:tc>
          <w:tcPr>
            <w:tcW w:type="dxa" w:w="3120"/>
          </w:tcPr>
          <w:p>
            <w:pPr>
              <w:spacing w:after="40"/>
            </w:pPr>
            <w:r>
              <w:rPr>
                <w:sz w:val="19"/>
              </w:rPr>
              <w:t>Registers store entrance, checks GPS range, generates tailored recommendation message, and triggers FCM push notice.</w:t>
            </w:r>
          </w:p>
        </w:tc>
      </w:tr>
      <w:tr>
        <w:tc>
          <w:tcPr>
            <w:tcW w:type="dxa" w:w="3120"/>
          </w:tcPr>
          <w:p>
            <w:pPr>
              <w:spacing w:after="40"/>
            </w:pPr>
            <w:r>
              <w:rPr>
                <w:sz w:val="19"/>
              </w:rPr>
              <w:t>POST /connect-consent</w:t>
            </w:r>
          </w:p>
        </w:tc>
        <w:tc>
          <w:tcPr>
            <w:tcW w:type="dxa" w:w="3120"/>
          </w:tcPr>
          <w:p>
            <w:pPr>
              <w:spacing w:after="40"/>
            </w:pPr>
            <w:r>
              <w:rPr>
                <w:sz w:val="19"/>
              </w:rPr>
              <w:t>ConnectConsentRequest</w:t>
            </w:r>
          </w:p>
        </w:tc>
        <w:tc>
          <w:tcPr>
            <w:tcW w:type="dxa" w:w="3120"/>
          </w:tcPr>
          <w:p>
            <w:pPr>
              <w:spacing w:after="40"/>
            </w:pPr>
            <w:r>
              <w:rPr>
                <w:sz w:val="19"/>
              </w:rPr>
              <w:t>Saves customer compliance data, awards free WiFi lease time, and returns customized retail product items.</w:t>
            </w:r>
          </w:p>
        </w:tc>
      </w:tr>
      <w:tr>
        <w:tc>
          <w:tcPr>
            <w:tcW w:type="dxa" w:w="3120"/>
          </w:tcPr>
          <w:p>
            <w:pPr>
              <w:spacing w:after="40"/>
            </w:pPr>
            <w:r>
              <w:rPr>
                <w:sz w:val="19"/>
              </w:rPr>
              <w:t>POST /track-purchase</w:t>
            </w:r>
          </w:p>
        </w:tc>
        <w:tc>
          <w:tcPr>
            <w:tcW w:type="dxa" w:w="3120"/>
          </w:tcPr>
          <w:p>
            <w:pPr>
              <w:spacing w:after="40"/>
            </w:pPr>
            <w:r>
              <w:rPr>
                <w:sz w:val="19"/>
              </w:rPr>
              <w:t>TrackPurchaseRequest</w:t>
            </w:r>
          </w:p>
        </w:tc>
        <w:tc>
          <w:tcPr>
            <w:tcW w:type="dxa" w:w="3120"/>
          </w:tcPr>
          <w:p>
            <w:pPr>
              <w:spacing w:after="40"/>
            </w:pPr>
            <w:r>
              <w:rPr>
                <w:sz w:val="19"/>
              </w:rPr>
              <w:t>Adds transaction records, increments LTV customer spend, evaluates VIP status tiers, and saves items.</w:t>
            </w:r>
          </w:p>
        </w:tc>
      </w:tr>
      <w:tr>
        <w:tc>
          <w:tcPr>
            <w:tcW w:type="dxa" w:w="3120"/>
          </w:tcPr>
          <w:p>
            <w:pPr>
              <w:spacing w:after="40"/>
            </w:pPr>
            <w:r>
              <w:rPr>
                <w:sz w:val="19"/>
              </w:rPr>
              <w:t>GET /settings</w:t>
            </w:r>
          </w:p>
        </w:tc>
        <w:tc>
          <w:tcPr>
            <w:tcW w:type="dxa" w:w="3120"/>
          </w:tcPr>
          <w:p>
            <w:pPr>
              <w:spacing w:after="40"/>
            </w:pPr>
            <w:r>
              <w:rPr>
                <w:sz w:val="19"/>
              </w:rPr>
              <w:t>None</w:t>
            </w:r>
          </w:p>
        </w:tc>
        <w:tc>
          <w:tcPr>
            <w:tcW w:type="dxa" w:w="3120"/>
          </w:tcPr>
          <w:p>
            <w:pPr>
              <w:spacing w:after="40"/>
            </w:pPr>
            <w:r>
              <w:rPr>
                <w:sz w:val="19"/>
              </w:rPr>
              <w:t>Returns system-wide template messages, switches state, proximity thresholds, and CRON schedule configurations.</w:t>
            </w:r>
          </w:p>
        </w:tc>
      </w:tr>
      <w:tr>
        <w:tc>
          <w:tcPr>
            <w:tcW w:type="dxa" w:w="3120"/>
          </w:tcPr>
          <w:p>
            <w:pPr>
              <w:spacing w:after="40"/>
            </w:pPr>
            <w:r>
              <w:rPr>
                <w:sz w:val="19"/>
              </w:rPr>
              <w:t>POST /settings</w:t>
            </w:r>
          </w:p>
        </w:tc>
        <w:tc>
          <w:tcPr>
            <w:tcW w:type="dxa" w:w="3120"/>
          </w:tcPr>
          <w:p>
            <w:pPr>
              <w:spacing w:after="40"/>
            </w:pPr>
            <w:r>
              <w:rPr>
                <w:sz w:val="19"/>
              </w:rPr>
              <w:t>SettingsRequest</w:t>
            </w:r>
          </w:p>
        </w:tc>
        <w:tc>
          <w:tcPr>
            <w:tcW w:type="dxa" w:w="3120"/>
          </w:tcPr>
          <w:p>
            <w:pPr>
              <w:spacing w:after="40"/>
            </w:pPr>
            <w:r>
              <w:rPr>
                <w:sz w:val="19"/>
              </w:rPr>
              <w:t>Updates system-wide templates and schedules in Firestore for push notification actions.</w:t>
            </w:r>
          </w:p>
        </w:tc>
      </w:tr>
      <w:tr>
        <w:tc>
          <w:tcPr>
            <w:tcW w:type="dxa" w:w="3120"/>
          </w:tcPr>
          <w:p>
            <w:pPr>
              <w:spacing w:after="40"/>
            </w:pPr>
            <w:r>
              <w:rPr>
                <w:sz w:val="19"/>
              </w:rPr>
              <w:t>GET /profile</w:t>
            </w:r>
          </w:p>
        </w:tc>
        <w:tc>
          <w:tcPr>
            <w:tcW w:type="dxa" w:w="3120"/>
          </w:tcPr>
          <w:p>
            <w:pPr>
              <w:spacing w:after="40"/>
            </w:pPr>
            <w:r>
              <w:rPr>
                <w:sz w:val="19"/>
              </w:rPr>
              <w:t>None</w:t>
            </w:r>
          </w:p>
        </w:tc>
        <w:tc>
          <w:tcPr>
            <w:tcW w:type="dxa" w:w="3120"/>
          </w:tcPr>
          <w:p>
            <w:pPr>
              <w:spacing w:after="40"/>
            </w:pPr>
            <w:r>
              <w:rPr>
                <w:sz w:val="19"/>
              </w:rPr>
              <w:t>Queries profile credentials (name, email) of the retail manager terminal owner.</w:t>
            </w:r>
          </w:p>
        </w:tc>
      </w:tr>
      <w:tr>
        <w:tc>
          <w:tcPr>
            <w:tcW w:type="dxa" w:w="3120"/>
          </w:tcPr>
          <w:p>
            <w:pPr>
              <w:spacing w:after="40"/>
            </w:pPr>
            <w:r>
              <w:rPr>
                <w:sz w:val="19"/>
              </w:rPr>
              <w:t>POST /profile</w:t>
            </w:r>
          </w:p>
        </w:tc>
        <w:tc>
          <w:tcPr>
            <w:tcW w:type="dxa" w:w="3120"/>
          </w:tcPr>
          <w:p>
            <w:pPr>
              <w:spacing w:after="40"/>
            </w:pPr>
            <w:r>
              <w:rPr>
                <w:sz w:val="19"/>
              </w:rPr>
              <w:t>ProfileRequest</w:t>
            </w:r>
          </w:p>
        </w:tc>
        <w:tc>
          <w:tcPr>
            <w:tcW w:type="dxa" w:w="3120"/>
          </w:tcPr>
          <w:p>
            <w:pPr>
              <w:spacing w:after="40"/>
            </w:pPr>
            <w:r>
              <w:rPr>
                <w:sz w:val="19"/>
              </w:rPr>
              <w:t>Saves profile credentials to Firestore configurations.</w:t>
            </w:r>
          </w:p>
        </w:tc>
      </w:tr>
      <w:tr>
        <w:tc>
          <w:tcPr>
            <w:tcW w:type="dxa" w:w="3120"/>
          </w:tcPr>
          <w:p>
            <w:pPr>
              <w:spacing w:after="40"/>
            </w:pPr>
            <w:r>
              <w:rPr>
                <w:sz w:val="19"/>
              </w:rPr>
              <w:t>GET /dashboard</w:t>
            </w:r>
          </w:p>
        </w:tc>
        <w:tc>
          <w:tcPr>
            <w:tcW w:type="dxa" w:w="3120"/>
          </w:tcPr>
          <w:p>
            <w:pPr>
              <w:spacing w:after="40"/>
            </w:pPr>
            <w:r>
              <w:rPr>
                <w:sz w:val="19"/>
              </w:rPr>
              <w:t>None</w:t>
            </w:r>
          </w:p>
        </w:tc>
        <w:tc>
          <w:tcPr>
            <w:tcW w:type="dxa" w:w="3120"/>
          </w:tcPr>
          <w:p>
            <w:pPr>
              <w:spacing w:after="40"/>
            </w:pPr>
            <w:r>
              <w:rPr>
                <w:sz w:val="19"/>
              </w:rPr>
              <w:t>Returns calculated JSON data feeds for active sessions, iOS/Android percentages, funnel conversions, and store sales.</w:t>
            </w:r>
          </w:p>
        </w:tc>
      </w:tr>
      <w:tr>
        <w:tc>
          <w:tcPr>
            <w:tcW w:type="dxa" w:w="3120"/>
          </w:tcPr>
          <w:p>
            <w:pPr>
              <w:spacing w:after="40"/>
            </w:pPr>
            <w:r>
              <w:rPr>
                <w:sz w:val="19"/>
              </w:rPr>
              <w:t>GET /dashboard-ui</w:t>
            </w:r>
          </w:p>
        </w:tc>
        <w:tc>
          <w:tcPr>
            <w:tcW w:type="dxa" w:w="3120"/>
          </w:tcPr>
          <w:p>
            <w:pPr>
              <w:spacing w:after="40"/>
            </w:pPr>
            <w:r>
              <w:rPr>
                <w:sz w:val="19"/>
              </w:rPr>
              <w:t>None</w:t>
            </w:r>
          </w:p>
        </w:tc>
        <w:tc>
          <w:tcPr>
            <w:tcW w:type="dxa" w:w="3120"/>
          </w:tcPr>
          <w:p>
            <w:pPr>
              <w:spacing w:after="40"/>
            </w:pPr>
            <w:r>
              <w:rPr>
                <w:sz w:val="19"/>
              </w:rPr>
              <w:t>Renders the premium AXIONIX frontend dashboard HTML/CSS/JS interface.</w:t>
            </w:r>
          </w:p>
        </w:tc>
      </w:tr>
    </w:tbl>
    <w:p>
      <w:pPr>
        <w:spacing w:after="240"/>
      </w:pPr>
    </w:p>
    <w:p>
      <w:pPr>
        <w:keepNext/>
        <w:spacing w:before="360" w:after="120"/>
      </w:pPr>
      <w:r>
        <w:rPr>
          <w:rFonts w:ascii="Arial" w:hAnsi="Arial"/>
          <w:b/>
          <w:color w:val="6366F1"/>
          <w:sz w:val="32"/>
        </w:rPr>
        <w:t>3. Frontend Technology Stack &amp; Architecture</w:t>
      </w:r>
    </w:p>
    <w:p>
      <w:r>
        <w:t>The AXIONIX UI is built as a responsive Single Page Application (SPA) structure, embedded directly inside FastAPI HTML responses. It utilizes clean modern aesthetics with custom glassmorphism panels, dark mode defaults, and interactive layout transitions.</w:t>
      </w:r>
    </w:p>
    <w:p>
      <w:pPr>
        <w:keepNext/>
        <w:spacing w:before="240" w:after="80"/>
      </w:pPr>
      <w:r>
        <w:rPr>
          <w:rFonts w:ascii="Arial" w:hAnsi="Arial"/>
          <w:b/>
          <w:color w:val="0F172A"/>
          <w:sz w:val="26"/>
        </w:rPr>
        <w:t>3.1 Styles &amp; Layout System</w:t>
      </w:r>
    </w:p>
    <w:p>
      <w:pPr>
        <w:pStyle w:val="ListBullet"/>
        <w:spacing w:after="60"/>
      </w:pPr>
      <w:r>
        <w:rPr>
          <w:b/>
          <w:color w:val="0F172A"/>
        </w:rPr>
        <w:t xml:space="preserve">Color tokens: </w:t>
      </w:r>
      <w:r>
        <w:t>Curated color palette using HSL variables to maintain contrast and visual flow. Indigo accents (#6366f1), Success emerald (#10b981), and Lime elements (#c8f04d).</w:t>
      </w:r>
    </w:p>
    <w:p>
      <w:pPr>
        <w:pStyle w:val="ListBullet"/>
        <w:spacing w:after="60"/>
      </w:pPr>
      <w:r>
        <w:rPr>
          <w:b/>
          <w:color w:val="0F172A"/>
        </w:rPr>
        <w:t xml:space="preserve">Glassmorphism: </w:t>
      </w:r>
      <w:r>
        <w:t>Card backdrops configured with 'backdrop-filter: blur(12px)' and transparent white borders to create a glass surface overlay effect.</w:t>
      </w:r>
    </w:p>
    <w:p>
      <w:pPr>
        <w:pStyle w:val="ListBullet"/>
        <w:spacing w:after="60"/>
      </w:pPr>
      <w:r>
        <w:rPr>
          <w:b/>
          <w:color w:val="0F172A"/>
        </w:rPr>
        <w:t xml:space="preserve">Sidebar system: </w:t>
      </w:r>
      <w:r>
        <w:t>Adapts between full 260px desktop side navigation bar and compact 70px icon-only layout on tablets and mobile screens.</w:t>
      </w:r>
    </w:p>
    <w:p>
      <w:pPr>
        <w:pStyle w:val="ListBullet"/>
        <w:spacing w:after="60"/>
      </w:pPr>
      <w:r>
        <w:rPr>
          <w:b/>
          <w:color w:val="0F172A"/>
        </w:rPr>
        <w:t xml:space="preserve">Bento structure: </w:t>
      </w:r>
      <w:r>
        <w:t>Ensures grid widgets dynamically resize between 3-column, 2-column, and 1-column layouts depending on screen width.</w:t>
      </w:r>
    </w:p>
    <w:p>
      <w:pPr>
        <w:keepNext/>
        <w:spacing w:before="240" w:after="80"/>
      </w:pPr>
      <w:r>
        <w:rPr>
          <w:rFonts w:ascii="Arial" w:hAnsi="Arial"/>
          <w:b/>
          <w:color w:val="0F172A"/>
          <w:sz w:val="26"/>
        </w:rPr>
        <w:t>3.2 Interactive Visualizations (Chart.js)</w:t>
      </w:r>
    </w:p>
    <w:p>
      <w:pPr>
        <w:pStyle w:val="ListBullet"/>
        <w:spacing w:after="60"/>
      </w:pPr>
      <w:r>
        <w:rPr>
          <w:b/>
          <w:color w:val="0F172A"/>
        </w:rPr>
        <w:t xml:space="preserve">Traffic Profile Chart: </w:t>
      </w:r>
      <w:r>
        <w:t>Displays hourly customer geofence entrance rates with curved gradient area line styling.</w:t>
      </w:r>
    </w:p>
    <w:p>
      <w:pPr>
        <w:pStyle w:val="ListBullet"/>
        <w:spacing w:after="60"/>
      </w:pPr>
      <w:r>
        <w:rPr>
          <w:b/>
          <w:color w:val="0F172A"/>
        </w:rPr>
        <w:t xml:space="preserve">Platform Split Chart: </w:t>
      </w:r>
      <w:r>
        <w:t>Splits visitor sessions dynamically between Apple iOS, Android, and other platform devices.</w:t>
      </w:r>
    </w:p>
    <w:p>
      <w:pPr>
        <w:pStyle w:val="ListBullet"/>
        <w:spacing w:after="60"/>
      </w:pPr>
      <w:r>
        <w:rPr>
          <w:b/>
          <w:color w:val="0F172A"/>
        </w:rPr>
        <w:t xml:space="preserve">Store Comparison Chart: </w:t>
      </w:r>
      <w:r>
        <w:t>Compares total registered visits against successful WiFi check-ins per store using grouped bar styling.</w:t>
      </w:r>
    </w:p>
    <w:p>
      <w:pPr>
        <w:pStyle w:val="ListBullet"/>
        <w:spacing w:after="60"/>
      </w:pPr>
      <w:r>
        <w:rPr>
          <w:b/>
          <w:color w:val="0F172A"/>
        </w:rPr>
        <w:t xml:space="preserve">Conversion Funnel Chart: </w:t>
      </w:r>
      <w:r>
        <w:t>Illustrates user leakage values across the conversion phases: Visited -&gt; Connected -&gt; Purchased.</w:t>
      </w:r>
    </w:p>
    <w:p>
      <w:pPr>
        <w:pStyle w:val="ListBullet"/>
        <w:spacing w:after="60"/>
      </w:pPr>
      <w:r>
        <w:rPr>
          <w:b/>
          <w:color w:val="0F172A"/>
        </w:rPr>
        <w:t xml:space="preserve">VIP Doughnut Chart: </w:t>
      </w:r>
      <w:r>
        <w:t>Visualizes guest distributions inside the Analytics tab based on customer LTV tiers.</w:t>
      </w:r>
    </w:p>
    <w:p>
      <w:pPr>
        <w:keepNext/>
        <w:spacing w:before="240" w:after="80"/>
      </w:pPr>
      <w:r>
        <w:rPr>
          <w:rFonts w:ascii="Arial" w:hAnsi="Arial"/>
          <w:b/>
          <w:color w:val="0F172A"/>
          <w:sz w:val="26"/>
        </w:rPr>
        <w:t>3.3 Core Features &amp; Dynamic Panels</w:t>
      </w:r>
    </w:p>
    <w:p>
      <w:pPr>
        <w:pStyle w:val="ListBullet"/>
        <w:spacing w:after="60"/>
      </w:pPr>
      <w:r>
        <w:rPr>
          <w:b/>
          <w:color w:val="0F172A"/>
        </w:rPr>
        <w:t xml:space="preserve">Dashboard Tab: </w:t>
      </w:r>
      <w:r>
        <w:t>Hosts real-time analytics indicators (visits, active now, conversions, gross income) refreshed via AJAX fetch requests every 5 seconds.</w:t>
      </w:r>
    </w:p>
    <w:p>
      <w:pPr>
        <w:pStyle w:val="ListBullet"/>
        <w:spacing w:after="60"/>
      </w:pPr>
      <w:r>
        <w:rPr>
          <w:b/>
          <w:color w:val="0F172A"/>
        </w:rPr>
        <w:t xml:space="preserve">Customers Tab: </w:t>
      </w:r>
      <w:r>
        <w:t>Lists visitor profiles, supports date and platform filters, column sorting, pagination, and quick custom push message dispatch.</w:t>
      </w:r>
    </w:p>
    <w:p>
      <w:pPr>
        <w:pStyle w:val="ListBullet"/>
        <w:spacing w:after="60"/>
      </w:pPr>
      <w:r>
        <w:rPr>
          <w:b/>
          <w:color w:val="0F172A"/>
        </w:rPr>
        <w:t xml:space="preserve">Stores Tab: </w:t>
      </w:r>
      <w:r>
        <w:t>Features dynamic cards detailing store connectivity states and sales revenue stats.</w:t>
      </w:r>
    </w:p>
    <w:p>
      <w:pPr>
        <w:pStyle w:val="ListBullet"/>
        <w:spacing w:after="60"/>
      </w:pPr>
      <w:r>
        <w:rPr>
          <w:b/>
          <w:color w:val="0F172A"/>
        </w:rPr>
        <w:t xml:space="preserve">Signal Heatmap: </w:t>
      </w:r>
      <w:r>
        <w:t>Houses the custom HTML canvas rendering an animated radar sweeps representing local client signals.</w:t>
      </w:r>
    </w:p>
    <w:p>
      <w:pPr>
        <w:pStyle w:val="ListBullet"/>
        <w:spacing w:after="60"/>
      </w:pPr>
      <w:r>
        <w:rPr>
          <w:b/>
          <w:color w:val="0F172A"/>
        </w:rPr>
        <w:t xml:space="preserve">Notifications &amp; Settings: </w:t>
      </w:r>
      <w:r>
        <w:t>Aggregates notification configuration inputs, geofence switches, LTV targets, and timeline audit logs.</w:t>
      </w:r>
    </w:p>
    <w:p>
      <w:pPr>
        <w:pStyle w:val="ListBullet"/>
        <w:spacing w:after="60"/>
      </w:pPr>
      <w:r>
        <w:rPr>
          <w:b/>
          <w:color w:val="0F172A"/>
        </w:rPr>
        <w:t xml:space="preserve">Login Screen: </w:t>
      </w:r>
      <w:r>
        <w:t>Secured via a particle drift canvas screen that connects node coordinates with fanned line segments.</w:t>
      </w:r>
    </w:p>
    <w:p>
      <w:pPr>
        <w:keepNext/>
        <w:spacing w:before="360" w:after="120"/>
      </w:pPr>
      <w:r>
        <w:rPr>
          <w:rFonts w:ascii="Arial" w:hAnsi="Arial"/>
          <w:b/>
          <w:color w:val="6366F1"/>
          <w:sz w:val="32"/>
        </w:rPr>
        <w:t>4. Captive Portal Landing System</w:t>
      </w:r>
    </w:p>
    <w:p>
      <w:r>
        <w:t>When visitors connect to the FreeSaleWiFi access point, the system forces DNS redirection, displaying portal.html. The page collects the user's name, phone number, and optional email, binds to their wireless adapter, and synchronizes consent to terms of service to open safe internet gateways.</w:t>
      </w:r>
    </w:p>
    <w:p>
      <w:pPr>
        <w:keepNext/>
        <w:spacing w:before="360" w:after="120"/>
      </w:pPr>
      <w:r>
        <w:rPr>
          <w:rFonts w:ascii="Arial" w:hAnsi="Arial"/>
          <w:b/>
          <w:color w:val="6366F1"/>
          <w:sz w:val="32"/>
        </w:rPr>
        <w:t>5. ESP32 Captive Portal Firmware integration</w:t>
      </w:r>
    </w:p>
    <w:p>
      <w:r>
        <w:t>AXIONIX integrates directly with low-cost ESP32 microcontrollers. Running custom Arduino C++ code, the firmware operates as follows:</w:t>
      </w:r>
    </w:p>
    <w:p>
      <w:pPr>
        <w:pStyle w:val="ListBullet"/>
        <w:spacing w:after="60"/>
      </w:pPr>
      <w:r>
        <w:rPr>
          <w:b/>
          <w:color w:val="0F172A"/>
        </w:rPr>
        <w:t xml:space="preserve">Wireless AP Server: </w:t>
      </w:r>
      <w:r>
        <w:t>Configures the ESP32 chip as a local wireless AP (SSID: FreeSaleWiFi) with softAP configuration parameters.</w:t>
      </w:r>
    </w:p>
    <w:p>
      <w:pPr>
        <w:pStyle w:val="ListBullet"/>
        <w:spacing w:after="60"/>
      </w:pPr>
      <w:r>
        <w:rPr>
          <w:b/>
          <w:color w:val="0F172A"/>
        </w:rPr>
        <w:t xml:space="preserve">Captive Portal DNS Redirection: </w:t>
      </w:r>
      <w:r>
        <w:t>Starts a DNS server listening on port 53. Resolves all domain queries (*.com, *.net, etc.) to the ESP32 softAP IP address (192.168.4.1), forcing captive portal behavior on client devices.</w:t>
      </w:r>
    </w:p>
    <w:p>
      <w:pPr>
        <w:pStyle w:val="ListBullet"/>
        <w:spacing w:after="60"/>
      </w:pPr>
      <w:r>
        <w:rPr>
          <w:b/>
          <w:color w:val="0F172A"/>
        </w:rPr>
        <w:t xml:space="preserve">Local Web Server: </w:t>
      </w:r>
      <w:r>
        <w:t>Serves the custom HTML sign-in page fallback locally if the backend server is offline, and bridges connections once verification responses are received.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B2D4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