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1AAF34">
      <w:pPr>
        <w:pBdr/>
        <w:spacing/>
        <w:ind/>
        <w:rPr/>
      </w:pPr>
      <w:r>
        <w:t xml:space="preserve">1. Identity and Access Management (IAM)</w:t>
      </w:r>
      <w:r/>
    </w:p>
    <w:p w14:paraId="4B722226">
      <w:pPr>
        <w:pBdr/>
        <w:spacing/>
        <w:ind/>
        <w:rPr/>
      </w:pPr>
      <w:r>
        <w:t xml:space="preserve">• Default Security Controls:</w:t>
      </w:r>
      <w:r/>
    </w:p>
    <w:p w14:paraId="1B1D939E">
      <w:pPr>
        <w:pBdr/>
        <w:spacing/>
        <w:ind/>
        <w:rPr/>
      </w:pPr>
      <w:r>
        <w:t xml:space="preserve">    ◦ Role-Based Access Control (RBAC): Built-in for all tenants to manage user permissions.</w:t>
      </w:r>
      <w:r/>
    </w:p>
    <w:p w14:paraId="561CB50C">
      <w:pPr>
        <w:pBdr/>
        <w:spacing/>
        <w:ind/>
        <w:rPr/>
      </w:pPr>
      <w:r>
        <w:t xml:space="preserve">    ◦ Tenant Isolation: Logical separation using unique tenant identifiers ensures users only access their own organization's records.</w:t>
      </w:r>
      <w:r/>
    </w:p>
    <w:p w14:paraId="7CC5C763">
      <w:pPr>
        <w:pBdr/>
        <w:spacing/>
        <w:ind/>
        <w:rPr/>
      </w:pPr>
      <w:r>
        <w:t xml:space="preserve">    ◦ Least Privilege for Admins: Administrative access is internally restricted to authorized DevOps personnel using separate support accounts.</w:t>
      </w:r>
      <w:r/>
    </w:p>
    <w:p w14:paraId="2BB83302">
      <w:pPr>
        <w:pBdr/>
        <w:spacing/>
        <w:ind/>
        <w:rPr/>
      </w:pPr>
      <w:r>
        <w:t xml:space="preserve">• Recommended for Secure Deployment:</w:t>
      </w:r>
      <w:r/>
    </w:p>
    <w:p w14:paraId="09FA3FBD">
      <w:pPr>
        <w:pBdr/>
        <w:spacing/>
        <w:ind/>
        <w:rPr/>
      </w:pPr>
      <w:r>
        <w:t xml:space="preserve">    ◦ Multi-Factor Authentication (MFA): Should be enabled for all administrative functions, including 2FA or third-party authentication integration.</w:t>
      </w:r>
      <w:r/>
    </w:p>
    <w:p w14:paraId="2F4E011A">
      <w:pPr>
        <w:pBdr/>
        <w:spacing/>
        <w:ind/>
        <w:rPr/>
      </w:pPr>
      <w:r>
        <w:t xml:space="preserve">    ◦ Separation of Duties (SoD): Enable SoD policies to identify and prevent "toxic combinations" of access, such as a user who can both create a vendor and approve a payment.</w:t>
      </w:r>
      <w:r/>
    </w:p>
    <w:p w14:paraId="754CACA7">
      <w:pPr>
        <w:pBdr/>
        <w:spacing/>
        <w:ind/>
        <w:rPr/>
      </w:pPr>
      <w:r>
        <w:t xml:space="preserve">    ◦ Custom User Levels: Use these to define precise rights for IT admins, ensuring they have exactly the access needed for their role and no more.</w:t>
      </w:r>
      <w:r/>
    </w:p>
    <w:p w14:paraId="1019A894">
      <w:pPr>
        <w:pBdr/>
        <w:spacing/>
        <w:ind/>
        <w:rPr/>
      </w:pPr>
      <w:r>
        <w:t xml:space="preserve">    ◦ Time-Bound Access: Implement this to grant elevated permissions only for a defined duration, moving toward a "zero standing privilege" environment.</w:t>
      </w:r>
      <w:r/>
    </w:p>
    <w:p w14:paraId="3B8005BD">
      <w:pPr>
        <w:pBdr/>
        <w:spacing/>
        <w:ind/>
        <w:rPr/>
      </w:pPr>
      <w:r>
        <w:t xml:space="preserve">    ◦ AI-Driven Outlier Detection: Use the Identity Outliers dashboard to identify and remediate identities with abnormal access compared to their peers.</w:t>
      </w:r>
      <w:r/>
    </w:p>
    <w:p w14:paraId="6B075181">
      <w:pPr>
        <w:pBdr/>
        <w:spacing/>
        <w:ind/>
        <w:rPr/>
      </w:pPr>
      <w:r>
        <w:t xml:space="preserve">2. Data Protection</w:t>
      </w:r>
      <w:r/>
    </w:p>
    <w:p w14:paraId="725E5D45">
      <w:pPr>
        <w:pBdr/>
        <w:spacing/>
        <w:ind/>
        <w:rPr/>
      </w:pPr>
      <w:r>
        <w:t xml:space="preserve">• Default Security Controls:</w:t>
      </w:r>
      <w:r/>
    </w:p>
    <w:p w14:paraId="51281690">
      <w:pPr>
        <w:pBdr/>
        <w:spacing/>
        <w:ind/>
        <w:rPr/>
      </w:pPr>
      <w:r>
        <w:t xml:space="preserve">    ◦ AES-256 Encryption: Standardized for data at rest using managed, restricted, and non-exportable keys.</w:t>
      </w:r>
      <w:r/>
    </w:p>
    <w:p w14:paraId="578971E9">
      <w:pPr>
        <w:pBdr/>
        <w:spacing/>
        <w:ind/>
        <w:rPr/>
      </w:pPr>
      <w:r>
        <w:t xml:space="preserve">    ◦ Zero Knowledge Encryption: A patented algorithm where credentials are encrypted on the user's device or Virtual Appliance (VA) before transmission, ensuring SailPoint never sees administrative passwords or sensitive keys.</w:t>
      </w:r>
      <w:r/>
    </w:p>
    <w:p w14:paraId="24463845">
      <w:pPr>
        <w:pBdr/>
        <w:spacing/>
        <w:ind/>
        <w:rPr/>
      </w:pPr>
      <w:r>
        <w:t xml:space="preserve">    ◦ Encryption in Transit: All data moving to the cloud is protected via TLS 1.2 or above.</w:t>
      </w:r>
      <w:r/>
    </w:p>
    <w:p w14:paraId="70D29006">
      <w:pPr>
        <w:pBdr/>
        <w:spacing/>
        <w:ind/>
        <w:rPr/>
      </w:pPr>
      <w:r>
        <w:t xml:space="preserve">• Recommended for Secure Deployment:</w:t>
      </w:r>
      <w:r/>
    </w:p>
    <w:p w14:paraId="70BDA948">
      <w:pPr>
        <w:pBdr/>
        <w:spacing/>
        <w:ind/>
        <w:rPr/>
      </w:pPr>
      <w:r>
        <w:t xml:space="preserve">    ◦ Data Access Security (DAS): Enable this to discover and classify sensitive unstructured data (such as PII or Intellectual Property) across cloud storage like Box and Google Drive.</w:t>
      </w:r>
      <w:r/>
    </w:p>
    <w:p w14:paraId="05E4D60B">
      <w:pPr>
        <w:pBdr/>
        <w:spacing/>
        <w:ind/>
        <w:rPr/>
      </w:pPr>
      <w:r>
        <w:t xml:space="preserve">    ◦ Data Certification: Empower data owners to periodically certify who has access to their specific files and repositories to meet GDPR or HIPAA requirements.</w:t>
      </w:r>
      <w:r/>
    </w:p>
    <w:p w14:paraId="28E3E8BB">
      <w:pPr>
        <w:pBdr/>
        <w:spacing/>
        <w:ind/>
        <w:rPr/>
      </w:pPr>
      <w:r>
        <w:t xml:space="preserve">3. Integration</w:t>
      </w:r>
      <w:r/>
    </w:p>
    <w:p w14:paraId="1A18596E">
      <w:pPr>
        <w:pBdr/>
        <w:spacing/>
        <w:ind/>
        <w:rPr/>
      </w:pPr>
      <w:r>
        <w:t xml:space="preserve">• Default Security Controls:</w:t>
      </w:r>
      <w:r/>
    </w:p>
    <w:p w14:paraId="21265427">
      <w:pPr>
        <w:pBdr/>
        <w:spacing/>
        <w:ind/>
        <w:rPr/>
      </w:pPr>
      <w:r>
        <w:t xml:space="preserve">    ◦ Outbound-Only Connectivity: The Virtual Appliance (VA) uses an outbound-only communication model, requiring no inbound firewall ports to be opened.</w:t>
      </w:r>
      <w:r/>
    </w:p>
    <w:p w14:paraId="2192A035">
      <w:pPr>
        <w:pBdr/>
        <w:spacing/>
        <w:ind/>
        <w:rPr/>
      </w:pPr>
      <w:r>
        <w:t xml:space="preserve">    ◦ Standards-Based Connectors: Out-of-the-box support for REST, SCIM, JDBC, and LDAP for secure information exchange.</w:t>
      </w:r>
      <w:r/>
    </w:p>
    <w:p w14:paraId="0D02BC1B">
      <w:pPr>
        <w:pBdr/>
        <w:spacing/>
        <w:ind/>
        <w:rPr/>
      </w:pPr>
      <w:r>
        <w:t xml:space="preserve">• Recommended for Secure Deployment:</w:t>
      </w:r>
      <w:r/>
    </w:p>
    <w:p w14:paraId="2995BC0A">
      <w:pPr>
        <w:pBdr/>
        <w:spacing/>
        <w:ind/>
        <w:rPr/>
      </w:pPr>
      <w:r>
        <w:t xml:space="preserve">    ◦ SIEM/SOAR Integration: Integrate with tools like Splunk or Microsoft Sentinel via the Search API to correlate identity events with broader network security signals.</w:t>
      </w:r>
      <w:r/>
    </w:p>
    <w:p w14:paraId="4770CFC7">
      <w:pPr>
        <w:pBdr/>
        <w:spacing/>
        <w:ind/>
        <w:rPr/>
      </w:pPr>
      <w:r>
        <w:t xml:space="preserve">    ◦ Event Triggers: Use webhooks to notify third-party security orchestration tools (like CrowdStrike) in real-time when risky events, such as an "Access Request Denied," occur.</w:t>
      </w:r>
      <w:r/>
    </w:p>
    <w:p w14:paraId="7A9F5528">
      <w:pPr>
        <w:pBdr/>
        <w:spacing/>
        <w:ind/>
        <w:rPr/>
      </w:pPr>
      <w:r>
        <w:t xml:space="preserve">4. Network Security</w:t>
      </w:r>
      <w:r/>
    </w:p>
    <w:p w14:paraId="3B13230D">
      <w:pPr>
        <w:pBdr/>
        <w:spacing/>
        <w:ind/>
        <w:rPr/>
      </w:pPr>
      <w:r>
        <w:t xml:space="preserve">• Default Security Controls:</w:t>
      </w:r>
      <w:r/>
    </w:p>
    <w:p w14:paraId="6D0C7F59">
      <w:pPr>
        <w:pBdr/>
        <w:spacing/>
        <w:ind/>
        <w:rPr/>
      </w:pPr>
      <w:r>
        <w:t xml:space="preserve">    ◦ AWS Infrastructure Protections: AWS prohibits all ports and protocols that do not have a specific business purpose and performs regular network scanning.</w:t>
      </w:r>
      <w:r/>
    </w:p>
    <w:p w14:paraId="480B2E3C">
      <w:pPr>
        <w:pBdr/>
        <w:spacing/>
        <w:ind/>
        <w:rPr/>
      </w:pPr>
      <w:r>
        <w:t xml:space="preserve">    ◦ Logical Segmentation: Distributed databases and logical models partition data internally to minimize the "blast radius" of any potential compromise.</w:t>
      </w:r>
      <w:r/>
    </w:p>
    <w:p w14:paraId="499DA3D9">
      <w:pPr>
        <w:pBdr/>
        <w:spacing/>
        <w:ind/>
        <w:rPr/>
      </w:pPr>
      <w:r>
        <w:t xml:space="preserve">• Recommended for Secure Deployment:</w:t>
      </w:r>
      <w:r/>
    </w:p>
    <w:p w14:paraId="1D428739">
      <w:pPr>
        <w:pBdr/>
        <w:spacing/>
        <w:ind/>
        <w:rPr/>
      </w:pPr>
      <w:r>
        <w:t xml:space="preserve">    ◦ Network Tunneling: For highly restricted environments, configure network tunnel servers to ensure traffic only moves through domain-based allow lists.</w:t>
      </w:r>
      <w:r/>
    </w:p>
    <w:p w14:paraId="6E31DE75">
      <w:pPr>
        <w:pBdr/>
        <w:spacing/>
        <w:ind/>
        <w:rPr/>
      </w:pPr>
      <w:r>
        <w:t xml:space="preserve">    ◦ FIPS Mode: For organizations with high-security or federal mandates, the VA can be configured at the Linux kernel level for FIPS compliance.</w:t>
      </w:r>
      <w:r/>
    </w:p>
    <w:p w14:paraId="522D7A42">
      <w:pPr>
        <w:pBdr/>
        <w:spacing/>
        <w:ind/>
        <w:rPr/>
      </w:pPr>
      <w:r>
        <w:t xml:space="preserve">5. Application Security</w:t>
      </w:r>
      <w:r/>
    </w:p>
    <w:p w14:paraId="14B45C51">
      <w:pPr>
        <w:pBdr/>
        <w:spacing/>
        <w:ind/>
        <w:rPr/>
      </w:pPr>
      <w:r>
        <w:t xml:space="preserve">• Default Security Controls:</w:t>
      </w:r>
      <w:r/>
    </w:p>
    <w:p w14:paraId="0EEEEC90">
      <w:pPr>
        <w:pBdr/>
        <w:spacing/>
        <w:ind/>
        <w:rPr/>
      </w:pPr>
      <w:r>
        <w:t xml:space="preserve">    ◦ Secure Software Development Lifecycle (SSDLC): Proactive code assurance and monitoring are built into the development process.</w:t>
      </w:r>
      <w:r/>
    </w:p>
    <w:p w14:paraId="10A65415">
      <w:pPr>
        <w:pBdr/>
        <w:spacing/>
        <w:ind/>
        <w:rPr/>
      </w:pPr>
      <w:r>
        <w:t xml:space="preserve">    ◦ Regular Penetration Testing: External security organizations conduct penetration tests at least every six months.</w:t>
      </w:r>
      <w:r/>
    </w:p>
    <w:p w14:paraId="3D385C46">
      <w:pPr>
        <w:pBdr/>
        <w:spacing/>
        <w:ind/>
        <w:rPr/>
      </w:pPr>
      <w:r>
        <w:t xml:space="preserve">    ◦ Bug Bounty Program: Ongoing engagement with the external research community to identify vulnerabilities.</w:t>
      </w:r>
      <w:r/>
    </w:p>
    <w:p w14:paraId="47E67BD4">
      <w:pPr>
        <w:pBdr/>
        <w:spacing/>
        <w:ind/>
        <w:rPr/>
      </w:pPr>
      <w:r>
        <w:t xml:space="preserve">• Recommended for Secure Deployment:</w:t>
      </w:r>
      <w:r/>
    </w:p>
    <w:p w14:paraId="6F49282B">
      <w:pPr>
        <w:pBdr/>
        <w:spacing/>
        <w:ind/>
        <w:rPr/>
      </w:pPr>
      <w:r>
        <w:t xml:space="preserve">    ◦ Rule Security Review: Any custom Beanshell rules developed for the platform must be reviewed by SailPoint Expert Services to ensure they do not introduce security vulnerabilities or performance issues.</w:t>
      </w:r>
      <w:r/>
    </w:p>
    <w:p w14:paraId="420C99D5">
      <w:pPr>
        <w:pBdr/>
        <w:spacing/>
        <w:ind/>
        <w:rPr/>
      </w:pPr>
      <w:r>
        <w:t xml:space="preserve">    ◦ SQL Injection Prevention: Ensure managed applications (like IdentityIQ) use parameterized statements and industry-standard packages like Hibernate.</w:t>
      </w:r>
      <w:r/>
    </w:p>
    <w:p w14:paraId="51B78BF9">
      <w:pPr>
        <w:pBdr/>
        <w:spacing/>
        <w:ind/>
        <w:rPr/>
      </w:pPr>
      <w:r>
        <w:t xml:space="preserve">6. Logging and Monitoring</w:t>
      </w:r>
      <w:r/>
    </w:p>
    <w:p w14:paraId="0B72E931">
      <w:pPr>
        <w:pBdr/>
        <w:spacing/>
        <w:ind/>
        <w:rPr/>
      </w:pPr>
      <w:r>
        <w:t xml:space="preserve">• Default Security Controls:</w:t>
      </w:r>
      <w:r/>
    </w:p>
    <w:p w14:paraId="38D6A6C4">
      <w:pPr>
        <w:pBdr/>
        <w:spacing/>
        <w:ind/>
        <w:rPr/>
      </w:pPr>
      <w:r>
        <w:t xml:space="preserve">    ◦ Real-Time Audit Trails: Nearly every action in the system is tracked and stored for at least one year.</w:t>
      </w:r>
      <w:r/>
    </w:p>
    <w:p w14:paraId="260DDB2B">
      <w:pPr>
        <w:pBdr/>
        <w:spacing/>
        <w:ind/>
        <w:rPr/>
      </w:pPr>
      <w:r>
        <w:t xml:space="preserve">    ◦ Admin Dashboard: Provides at-a-glance visibility into system component health and certification progress.</w:t>
      </w:r>
      <w:r/>
    </w:p>
    <w:p w14:paraId="236F0F7B">
      <w:pPr>
        <w:pBdr/>
        <w:spacing/>
        <w:ind/>
        <w:rPr/>
      </w:pPr>
      <w:r>
        <w:t xml:space="preserve">• Recommended for Secure Deployment:</w:t>
      </w:r>
      <w:r/>
    </w:p>
    <w:p w14:paraId="5E14FDB6">
      <w:pPr>
        <w:pBdr/>
        <w:spacing/>
        <w:ind/>
        <w:rPr/>
      </w:pPr>
      <w:r>
        <w:t xml:space="preserve">    ◦ System Health Notifications: Configure these to receive immediate alerts if a source enters an error state or a Virtual Appliance cluster becomes unhealthy.</w:t>
      </w:r>
      <w:r/>
    </w:p>
    <w:p w14:paraId="2AA014AF">
      <w:pPr>
        <w:pBdr/>
        <w:spacing/>
        <w:ind/>
        <w:rPr/>
      </w:pPr>
      <w:r>
        <w:t xml:space="preserve">    ◦ Long-Term Retention: For compliance requirements exceeding one year, export audit logs to a SIEM for long-term storage and forensics.</w:t>
      </w:r>
      <w:r/>
    </w:p>
    <w:p w14:paraId="6253B82D">
      <w:pPr>
        <w:pBdr/>
        <w:spacing/>
        <w:ind/>
        <w:rPr/>
      </w:pPr>
      <w:r>
        <w:t xml:space="preserve">7. Infrastructure Security</w:t>
      </w:r>
      <w:r/>
    </w:p>
    <w:p w14:paraId="0C96B488">
      <w:pPr>
        <w:pBdr/>
        <w:spacing/>
        <w:ind/>
        <w:rPr/>
      </w:pPr>
      <w:r>
        <w:t xml:space="preserve">• Default Security Controls:</w:t>
      </w:r>
      <w:r/>
    </w:p>
    <w:p w14:paraId="5042037D">
      <w:pPr>
        <w:pBdr/>
        <w:spacing/>
        <w:ind/>
        <w:rPr/>
      </w:pPr>
      <w:r>
        <w:t xml:space="preserve">    ◦ Hardened Virtual Appliance: The VA uses the Flatcar operating system, which is stripped of non-essential services and does not support root access or additional user accounts.</w:t>
      </w:r>
      <w:r/>
    </w:p>
    <w:p w14:paraId="20F93FF8">
      <w:pPr>
        <w:pBdr/>
        <w:spacing/>
        <w:ind/>
        <w:rPr/>
      </w:pPr>
      <w:r>
        <w:t xml:space="preserve">    ◦ Automated VA Patching: SailPoint manages and pushes software maintenance and security updates to the VA cluster automatically.</w:t>
      </w:r>
      <w:r/>
    </w:p>
    <w:p w14:paraId="0F51C9FF">
      <w:pPr>
        <w:pBdr/>
        <w:spacing/>
        <w:ind/>
        <w:rPr/>
      </w:pPr>
      <w:r>
        <w:t xml:space="preserve">• Recommended for Secure Deployment:</w:t>
      </w:r>
      <w:r/>
    </w:p>
    <w:p w14:paraId="67648F91">
      <w:pPr>
        <w:pBdr/>
        <w:spacing/>
        <w:ind/>
        <w:rPr/>
      </w:pPr>
      <w:r>
        <w:t xml:space="preserve">    ◦ Redundancy (VA Clusters): Deploy VAs in a 1:1 ratio to virtual machines and spread them across different physical servers or Availability Zones to avoid single points of failure.</w:t>
      </w:r>
      <w:r/>
    </w:p>
    <w:p w14:paraId="21471B92">
      <w:pPr>
        <w:pBdr/>
        <w:spacing/>
        <w:ind/>
        <w:rPr/>
      </w:pPr>
      <w:r>
        <w:t xml:space="preserve">    ◦ Authoritative Source Accuracy: Regularly audit the accuracy of identity data in the primary HR system, as the platform's security logic depends on this "source of truth".</w:t>
      </w:r>
      <w:r/>
    </w:p>
    <w:p w14:paraId="6383D54B">
      <w:pPr>
        <w:pBdr/>
        <w:spacing/>
        <w:ind/>
        <w:rPr/>
      </w:pPr>
      <w:r>
        <w:t xml:space="preserve">8. Cloud Infrastructure</w:t>
      </w:r>
      <w:r/>
    </w:p>
    <w:p w14:paraId="62A2BE40">
      <w:pPr>
        <w:pBdr/>
        <w:spacing/>
        <w:ind/>
        <w:rPr/>
      </w:pPr>
      <w:r>
        <w:t xml:space="preserve">• Default Security Controls:</w:t>
      </w:r>
      <w:r/>
    </w:p>
    <w:p w14:paraId="0FE2E71D">
      <w:pPr>
        <w:pBdr/>
        <w:spacing/>
        <w:ind/>
        <w:rPr/>
      </w:pPr>
      <w:r>
        <w:t xml:space="preserve">    ◦ AWS Multi-AZ Redundancy: Redundant hardware, software, and network infrastructure are maintained across three Availability Zones in each region.</w:t>
      </w:r>
      <w:r/>
    </w:p>
    <w:p w14:paraId="1DB319E1">
      <w:pPr>
        <w:pBdr/>
        <w:spacing/>
        <w:ind/>
        <w:rPr/>
      </w:pPr>
      <w:r>
        <w:t xml:space="preserve">    ◦ Automated Failover: Built-in measures for quick restoration from backups in the event of a site or service failure.</w:t>
      </w:r>
      <w:r/>
    </w:p>
    <w:p w14:paraId="4BD792B3">
      <w:pPr>
        <w:pBdr/>
        <w:spacing/>
        <w:ind/>
        <w:rPr/>
      </w:pPr>
      <w:r>
        <w:t xml:space="preserve">• Recommended for Secure Deployment:</w:t>
      </w:r>
      <w:r/>
    </w:p>
    <w:p w14:paraId="4DB7FFD6">
      <w:pPr>
        <w:pBdr/>
        <w:spacing/>
        <w:ind/>
        <w:rPr/>
      </w:pPr>
      <w:r>
        <w:t xml:space="preserve">    ◦ CIEM (Cloud Infrastructure Entitlement Management): Enable this to manage access and entitlements across multi-cloud environments (AWS, Azure, GCP), identifying over-privileged accounts.</w:t>
      </w:r>
      <w:r/>
    </w:p>
    <w:p>
      <w:pPr>
        <w:pBdr/>
        <w:spacing/>
        <w:ind/>
        <w:rPr>
          <w:highlight w:val="none"/>
        </w:rPr>
      </w:pPr>
      <w:r>
        <w:t xml:space="preserve">    ◦ Zero Trust Architecture: Align deployment with NIST 800-207 concepts, utilizing identity as the primary control plane for all cloud resources.</w:t>
      </w:r>
      <w:r/>
      <w:r/>
      <w:r/>
    </w:p>
    <w:p w14:paraId="7CAA7F64">
      <w:pPr>
        <w:pBdr/>
        <w:spacing/>
        <w:ind/>
        <w:rPr/>
      </w:pPr>
      <w:r/>
      <w:r/>
      <w:r/>
    </w:p>
    <w:tbl>
      <w:tblPr>
        <w:tblStyle w:val="12"/>
        <w:tblInd w:w="0" w:type="dxa"/>
        <w:tblW w:w="0" w:type="auto"/>
        <w:tblBorders>
          <w:top w:val="single" w:color="e8eaed" w:sz="6" w:space="0"/>
          <w:left w:val="single" w:color="e8eaed" w:sz="6" w:space="0"/>
          <w:bottom w:val="single" w:color="e8eaed" w:sz="6" w:space="0"/>
          <w:right w:val="single" w:color="e8eaed" w:sz="6" w:space="0"/>
          <w:insideH w:val="none" w:color="000000" w:sz="4" w:space="0"/>
          <w:insideV w:val="none" w:color="000000" w:sz="4" w:space="0"/>
        </w:tblBorders>
        <w:shd w:val="clear" w:color="22262b" w:fill="22262b"/>
        <w:tblLayout w:type="autofit"/>
        <w:tblLook w:val="04A0" w:firstRow="1" w:lastRow="0" w:firstColumn="1" w:lastColumn="0" w:noHBand="0" w:noVBand="1"/>
      </w:tblPr>
      <w:tblGrid>
        <w:gridCol w:w="672"/>
        <w:gridCol w:w="3903"/>
        <w:gridCol w:w="4780"/>
      </w:tblGrid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72" w:type="dxa"/>
            <w:vAlign w:val="center"/>
            <w:textDirection w:val="lrTb"/>
            <w:noWrap w:val="false"/>
          </w:tcPr>
          <w:p w14:paraId="2EF656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Security Domain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903" w:type="dxa"/>
            <w:vAlign w:val="center"/>
            <w:textDirection w:val="lrTb"/>
            <w:noWrap w:val="false"/>
          </w:tcPr>
          <w:p w14:paraId="47455E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Security Controls Enabled by Default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780" w:type="dxa"/>
            <w:vAlign w:val="center"/>
            <w:textDirection w:val="lrTb"/>
            <w:noWrap w:val="false"/>
          </w:tcPr>
          <w:p w14:paraId="34A2C3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Security Features Recommended for Secure Deployment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72" w:type="dxa"/>
            <w:vAlign w:val="center"/>
            <w:textDirection w:val="lrTb"/>
            <w:noWrap w:val="false"/>
          </w:tcPr>
          <w:p w14:paraId="69F4D1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Identity and Access Management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903" w:type="dxa"/>
            <w:vAlign w:val="center"/>
            <w:textDirection w:val="lrTb"/>
            <w:noWrap w:val="false"/>
          </w:tcPr>
          <w:p w14:paraId="28F136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Role-Based Access Control (RBAC)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Multi-Factor Authentication (MFA)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administrative functions;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Logical tenant separation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using unique identifiers; Basic audit history.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780" w:type="dxa"/>
            <w:vAlign w:val="center"/>
            <w:textDirection w:val="lrTb"/>
            <w:noWrap w:val="false"/>
          </w:tcPr>
          <w:p w14:paraId="00A93B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Custom User Levels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granular admin rights;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Separation of Duties (SoD)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policies;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Time-bound access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to minimize standing privilege;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AI-driven Identity Outlier detection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Least privilege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enforcement for all roles.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72" w:type="dxa"/>
            <w:vAlign w:val="center"/>
            <w:textDirection w:val="lrTb"/>
            <w:noWrap w:val="false"/>
          </w:tcPr>
          <w:p w14:paraId="26CC3A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Data Protection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903" w:type="dxa"/>
            <w:vAlign w:val="center"/>
            <w:textDirection w:val="lrTb"/>
            <w:noWrap w:val="false"/>
          </w:tcPr>
          <w:p w14:paraId="5925A8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AES-256 encryption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data at rest;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TLS 1.2 or above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data in transit;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Zero Knowledge Encryption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credentials.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780" w:type="dxa"/>
            <w:vAlign w:val="center"/>
            <w:textDirection w:val="lrTb"/>
            <w:noWrap w:val="false"/>
          </w:tcPr>
          <w:p w14:paraId="26BD12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Data Access Security (DAS)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unstructured data governance;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Data Certification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by resource owners;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Automated discovery and classification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of PII/IP.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72" w:type="dxa"/>
            <w:vAlign w:val="center"/>
            <w:textDirection w:val="lrTb"/>
            <w:noWrap w:val="false"/>
          </w:tcPr>
          <w:p w14:paraId="4328C2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Integration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903" w:type="dxa"/>
            <w:vAlign w:val="center"/>
            <w:textDirection w:val="lrTb"/>
            <w:noWrap w:val="false"/>
          </w:tcPr>
          <w:p w14:paraId="1D283D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Outbound-only communication model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Virtual Appliances (no inbound ports required); Standards-based connectors (REST, SCIM, JDBC, LDAP).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780" w:type="dxa"/>
            <w:vAlign w:val="center"/>
            <w:textDirection w:val="lrTb"/>
            <w:noWrap w:val="false"/>
          </w:tcPr>
          <w:p w14:paraId="06D47F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SIEM/SOAR integration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(e.g., Splunk, Microsoft Sentinel);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Event Triggers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real-time incident orchestration;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ITSM integration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request fulfillment.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72" w:type="dxa"/>
            <w:vAlign w:val="center"/>
            <w:textDirection w:val="lrTb"/>
            <w:noWrap w:val="false"/>
          </w:tcPr>
          <w:p w14:paraId="67549A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Network Security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903" w:type="dxa"/>
            <w:vAlign w:val="center"/>
            <w:textDirection w:val="lrTb"/>
            <w:noWrap w:val="false"/>
          </w:tcPr>
          <w:p w14:paraId="36C3A0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Logical segmentation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and data partitioning; AWS-level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port and protocol prohibitions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(least privilege); Built-in firewalls and VPN controls.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780" w:type="dxa"/>
            <w:vAlign w:val="center"/>
            <w:textDirection w:val="lrTb"/>
            <w:noWrap w:val="false"/>
          </w:tcPr>
          <w:p w14:paraId="30A0C8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Network Tunneling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restricted domain environments;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FIPS mode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federal or high-security kernel-level compliance;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Network allow-lists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configuration.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72" w:type="dxa"/>
            <w:vAlign w:val="center"/>
            <w:textDirection w:val="lrTb"/>
            <w:noWrap w:val="false"/>
          </w:tcPr>
          <w:p w14:paraId="503AA2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Application Security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903" w:type="dxa"/>
            <w:vAlign w:val="center"/>
            <w:textDirection w:val="lrTb"/>
            <w:noWrap w:val="false"/>
          </w:tcPr>
          <w:p w14:paraId="50B935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Secure Software Development Lifecycle (SSDLC)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Penetration testing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every six months;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Bug Bounty program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; SQL injection prevention via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parameterized statements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.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780" w:type="dxa"/>
            <w:vAlign w:val="center"/>
            <w:textDirection w:val="lrTb"/>
            <w:noWrap w:val="false"/>
          </w:tcPr>
          <w:p w14:paraId="499637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Rule Security Review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by SailPoint Expert Services for custom Beanshell rules;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Continuous vulnerability scanning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and remediation SLAs.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72" w:type="dxa"/>
            <w:vAlign w:val="center"/>
            <w:textDirection w:val="lrTb"/>
            <w:noWrap w:val="false"/>
          </w:tcPr>
          <w:p w14:paraId="0ED2D6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Logging and Monitoring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903" w:type="dxa"/>
            <w:vAlign w:val="center"/>
            <w:textDirection w:val="lrTb"/>
            <w:noWrap w:val="false"/>
          </w:tcPr>
          <w:p w14:paraId="364FB5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Real-time audit trails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stored for at least one year;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Admin Dashboard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at-a-glance system status.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780" w:type="dxa"/>
            <w:vAlign w:val="center"/>
            <w:textDirection w:val="lrTb"/>
            <w:noWrap w:val="false"/>
          </w:tcPr>
          <w:p w14:paraId="4F66A5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System Health Notifications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source or VA errors;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Long-term log retention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via SIEM export;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AI behavioral analysis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to detect anomalies.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72" w:type="dxa"/>
            <w:vAlign w:val="center"/>
            <w:textDirection w:val="lrTb"/>
            <w:noWrap w:val="false"/>
          </w:tcPr>
          <w:p w14:paraId="19C778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Infrastructure Security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903" w:type="dxa"/>
            <w:vAlign w:val="center"/>
            <w:textDirection w:val="lrTb"/>
            <w:noWrap w:val="false"/>
          </w:tcPr>
          <w:p w14:paraId="7BC3E8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Hardened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Flatcar OS Virtual Appliance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(no root access);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Automated patching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and software updates managed by provider.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780" w:type="dxa"/>
            <w:vAlign w:val="center"/>
            <w:textDirection w:val="lrTb"/>
            <w:noWrap w:val="false"/>
          </w:tcPr>
          <w:p w14:paraId="7AC2BC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Redundancy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via 1:1 VA-to-VM ratio across different Availability Zones;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Authoritative source auditing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data accuracy.</w:t>
            </w:r>
            <w:r/>
          </w:p>
        </w:tc>
      </w:tr>
      <w:tr>
        <w:trPr/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72" w:type="dxa"/>
            <w:vAlign w:val="center"/>
            <w:textDirection w:val="lrTb"/>
            <w:noWrap w:val="false"/>
          </w:tcPr>
          <w:p w14:paraId="6FB5BE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Cloud Infrastructure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903" w:type="dxa"/>
            <w:vAlign w:val="center"/>
            <w:textDirection w:val="lrTb"/>
            <w:noWrap w:val="false"/>
          </w:tcPr>
          <w:p w14:paraId="25A1FA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Multi-tenant isolation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with unique schema/passwords;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Multi-AZ redundancy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(three zones) for hardware/network failover.</w:t>
            </w:r>
            <w:r/>
          </w:p>
        </w:tc>
        <w:tc>
          <w:tcPr>
            <w:tcBorders>
              <w:top w:val="single" w:color="e8eaed" w:sz="6" w:space="0"/>
              <w:left w:val="single" w:color="e8eaed" w:sz="6" w:space="0"/>
              <w:bottom w:val="single" w:color="e8eaed" w:sz="6" w:space="0"/>
              <w:right w:val="single" w:color="e8eaed" w:sz="6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780" w:type="dxa"/>
            <w:vAlign w:val="center"/>
            <w:textDirection w:val="lrTb"/>
            <w:noWrap w:val="false"/>
          </w:tcPr>
          <w:p w14:paraId="1108DA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22262b" w:fill="22262b"/>
              <w:spacing w:line="358" w:lineRule="atLeast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CIEM (Cloud Infrastructure Entitlement Management)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 for multi-cloud visibility; Adoption of a </w:t>
            </w:r>
            <w:r>
              <w:rPr>
                <w:rFonts w:ascii="Liberation Sans" w:hAnsi="Liberation Sans" w:eastAsia="Liberation Sans" w:cs="Liberation Sans"/>
                <w:b/>
                <w:color w:val="c7c7c7"/>
                <w:sz w:val="21"/>
              </w:rPr>
              <w:t xml:space="preserve">Zero Trust Architecture</w:t>
            </w:r>
            <w:r>
              <w:rPr>
                <w:rFonts w:ascii="Liberation Sans" w:hAnsi="Liberation Sans" w:eastAsia="Liberation Sans" w:cs="Liberation Sans"/>
                <w:color w:val="c7c7c7"/>
                <w:sz w:val="21"/>
              </w:rPr>
              <w:t xml:space="preserve">.</w:t>
            </w:r>
            <w:r/>
          </w:p>
        </w:tc>
      </w:tr>
    </w:tbl>
    <w:p w14:paraId="231528F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2026-02-03T05:06:20Z</dcterms:modified>
</cp:coreProperties>
</file>