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400"/>
              <w:left w:type="dxa" w:w="400"/>
              <w:bottom w:type="dxa" w:w="400"/>
              <w:right w:type="dxa" w:w="400"/>
            </w:tcMar>
          </w:tcPr>
          <w:p>
            <w:pPr>
              <w:spacing w:after="60" w:before="120"/>
              <w:jc w:val="center"/>
            </w:pPr>
            <w:r>
              <w:rPr>
                <w:rFonts w:ascii="Arial" w:cs="Arial" w:eastAsia="Arial" w:hAnsi="Arial"/>
                <w:color w:val="9DC3E6"/>
                <w:sz w:val="24"/>
                <w:szCs w:val="24"/>
              </w:rPr>
              <w:t xml:space="preserve">MERCHANT ACQUIRER MIGRATION</w:t>
            </w:r>
          </w:p>
          <w:p>
            <w:pPr>
              <w:spacing w:after="60" w:before="60"/>
              <w:jc w:val="center"/>
            </w:pPr>
            <w:r>
              <w:rPr>
                <w:rFonts w:ascii="Arial" w:cs="Arial" w:eastAsia="Arial" w:hAnsi="Arial"/>
                <w:b/>
                <w:bCs/>
                <w:color w:val="FFFFFF"/>
                <w:sz w:val="40"/>
                <w:szCs w:val="40"/>
              </w:rPr>
              <w:t xml:space="preserve">Platform Security Capability Assessment</w:t>
            </w:r>
          </w:p>
          <w:p>
            <w:pPr>
              <w:spacing w:after="120" w:before="60"/>
              <w:jc w:val="center"/>
            </w:pPr>
            <w:r>
              <w:rPr>
                <w:rFonts w:ascii="Arial" w:cs="Arial" w:eastAsia="Arial" w:hAnsi="Arial"/>
                <w:i/>
                <w:iCs/>
                <w:color w:val="9DC3E6"/>
                <w:sz w:val="26"/>
                <w:szCs w:val="26"/>
              </w:rPr>
              <w:t xml:space="preserve">TD Merchant Services  →  Global Payments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CONFIDENTIAL — Internal Use Only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Architecture Team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21, 2026</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 Initial Draft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Identify platform-level security capability gaps when migrating merchant acquiring from TD Merchant Services to Global Payments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1.  Executive Summary</w:t>
            </w:r>
          </w:p>
        </w:tc>
      </w:tr>
    </w:tbl>
    <w:p>
      <w:pPr>
        <w:spacing w:after="60" w:before="60"/>
      </w:pPr>
      <w:r>
        <w:t xml:space="preserve"/>
      </w:r>
    </w:p>
    <w:p>
      <w:pPr>
        <w:spacing w:after="60" w:before="60"/>
      </w:pPr>
      <w:r>
        <w:rPr>
          <w:rFonts w:ascii="Arial" w:cs="Arial" w:eastAsia="Arial" w:hAnsi="Arial"/>
          <w:sz w:val="20"/>
          <w:szCs w:val="20"/>
        </w:rPr>
        <w:t xml:space="preserve">This document presents a platform-level security capability assessment conducted as part of the migration from TD Merchant Services to Global Payments as the organisation's primary merchant acquirer. The assessment evaluates Global Payments' security posture across nine critical domains and identifies potential gaps relative to current capabilities and applicable security standards (PCI DSS v4.0, ISO 27001, SOC 2 Type II).</w:t>
      </w:r>
    </w:p>
    <w:p>
      <w:pPr>
        <w:spacing w:after="60" w:before="60"/>
      </w:pPr>
      <w:r>
        <w:t xml:space="preserve"/>
      </w:r>
    </w:p>
    <w:p>
      <w:pPr>
        <w:spacing w:after="60" w:before="60"/>
      </w:pPr>
      <w:r>
        <w:rPr>
          <w:rFonts w:ascii="Arial" w:cs="Arial" w:eastAsia="Arial" w:hAnsi="Arial"/>
          <w:sz w:val="20"/>
          <w:szCs w:val="20"/>
        </w:rPr>
        <w:t xml:space="preserve">The assessment is organised into the following security domains: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Core Platform Components and Their Security Relevance</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Authentication and Authorization</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Network Security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Application Security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Data Protection</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Identity &amp; Access Management (IAM)</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Integration Security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Logging and Monitoring</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Infrastructure Security</w:t>
      </w:r>
    </w:p>
    <w:p>
      <w:pPr>
        <w:spacing w:after="60" w:before="60"/>
      </w:pPr>
      <w:r>
        <w:t xml:space="preserve"/>
      </w:r>
    </w:p>
    <w:p>
      <w:pPr>
        <w:spacing w:after="60" w:before="60"/>
      </w:pPr>
      <w:r>
        <w:rPr>
          <w:rFonts w:ascii="Arial" w:cs="Arial" w:eastAsia="Arial" w:hAnsi="Arial"/>
          <w:sz w:val="20"/>
          <w:szCs w:val="20"/>
        </w:rPr>
        <w:t xml:space="preserve">Each domain is evaluated for capability presence, configuration maturity, and known deficiencies. A consolidated Gap Summary Scorecard is provided in Section 11.</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2.  Scope and Assessment Methodology</w:t>
            </w:r>
          </w:p>
        </w:tc>
      </w:tr>
    </w:tbl>
    <w:p>
      <w:pPr>
        <w:spacing w:after="60" w:before="60"/>
      </w:pPr>
      <w:r>
        <w:t xml:space="preserve"/>
      </w:r>
    </w:p>
    <w:p>
      <w:pPr>
        <w:spacing w:after="80" w:before="240"/>
      </w:pPr>
      <w:r>
        <w:rPr>
          <w:rFonts w:ascii="Arial" w:cs="Arial" w:eastAsia="Arial" w:hAnsi="Arial"/>
          <w:b/>
          <w:bCs/>
          <w:color w:val="2E75B6"/>
          <w:sz w:val="22"/>
          <w:szCs w:val="22"/>
        </w:rPr>
        <w:t xml:space="preserve">2.1  Scope</w:t>
      </w:r>
    </w:p>
    <w:p>
      <w:pPr>
        <w:spacing w:after="60" w:before="60"/>
      </w:pPr>
      <w:r>
        <w:rPr>
          <w:rFonts w:ascii="Arial" w:cs="Arial" w:eastAsia="Arial" w:hAnsi="Arial"/>
          <w:sz w:val="20"/>
          <w:szCs w:val="20"/>
        </w:rPr>
        <w:t xml:space="preserve">This assessment covers the Global Payments merchant acquiring platform as it applies to the organisation's card-present (POS), card-not-present (eCommerce), and recurring billing transaction flows. It does not assess third-party gateways independently integrated by the organisation.</w:t>
      </w:r>
    </w:p>
    <w:p>
      <w:pPr>
        <w:spacing w:after="60" w:before="60"/>
      </w:pPr>
      <w:r>
        <w:t xml:space="preserve"/>
      </w:r>
    </w:p>
    <w:p>
      <w:pPr>
        <w:spacing w:after="80" w:before="240"/>
      </w:pPr>
      <w:r>
        <w:rPr>
          <w:rFonts w:ascii="Arial" w:cs="Arial" w:eastAsia="Arial" w:hAnsi="Arial"/>
          <w:b/>
          <w:bCs/>
          <w:color w:val="2E75B6"/>
          <w:sz w:val="22"/>
          <w:szCs w:val="22"/>
        </w:rPr>
        <w:t xml:space="preserve">2.2  Methodology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Review of Global Payments publicly available security documentation, PCI DSS attestations, and developer portal specifications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Mapping of platform capabilities against PCI DSS v4.0 requirements, NIST CSF 2.0 controls, and CIS Critical Security Controls v8</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Gap analysis comparing Global Payments capabilities against current TD Merchant Services environment</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Risk rating of identified gaps using a Probability × Impact matrix (Critical / High / Medium / Low)</w:t>
      </w:r>
    </w:p>
    <w:p>
      <w:pPr>
        <w:spacing w:after="60" w:before="60"/>
      </w:pPr>
      <w:r>
        <w:t xml:space="preserve"/>
      </w:r>
    </w:p>
    <w:p>
      <w:pPr>
        <w:spacing w:after="80" w:before="240"/>
      </w:pPr>
      <w:r>
        <w:rPr>
          <w:rFonts w:ascii="Arial" w:cs="Arial" w:eastAsia="Arial" w:hAnsi="Arial"/>
          <w:b/>
          <w:bCs/>
          <w:color w:val="2E75B6"/>
          <w:sz w:val="22"/>
          <w:szCs w:val="22"/>
        </w:rPr>
        <w:t xml:space="preserve">2.3  Assumptions and Constraints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Global Payments is assessed as a Level 1 PCI DSS Service Provider (confirmed via published AoC)</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Shared Responsibility Model applies: certain controls are owned by the organisation, others by Global Payments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Configuration-dependent capabilities (e.g., IP allowlisting, webhook mTLS) are rated 'Partial' unless confirmed as default-enabled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3.  Core Platform Components and Their Security Relevance</w:t>
            </w:r>
          </w:p>
        </w:tc>
      </w:tr>
    </w:tbl>
    <w:p>
      <w:pPr>
        <w:spacing w:after="60" w:before="60"/>
      </w:pPr>
      <w:r>
        <w:t xml:space="preserve"/>
      </w:r>
    </w:p>
    <w:p>
      <w:pPr>
        <w:spacing w:after="60" w:before="60"/>
      </w:pPr>
      <w:r>
        <w:rPr>
          <w:rFonts w:ascii="Arial" w:cs="Arial" w:eastAsia="Arial" w:hAnsi="Arial"/>
          <w:sz w:val="20"/>
          <w:szCs w:val="20"/>
        </w:rPr>
        <w:t xml:space="preserve">Global Payments operates a globally distributed, cloud-enabled acquiring platform. The following core components are security-relevant and are assessed throughout subsequent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Transaction Processing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Real-time authorisation, capture, settlement and refund processing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EdgeShield-integrated processing with device-level encryption at point of capture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encryption scope extends to all POS terminal models in use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Payment Gateway API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REST/JSON API layer for card-not-present and eCommerce transactions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Versioned RESTful API with API key + HMAC-SHA authentication and TLS 1.2/1.3 enforcement</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Confirm TLS 1.0/1.1 is disabled on all endpoints; verify cipher suite configuration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Hosted Payment Page (HPP)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PCI-scoped hosted form to remove card data from merchant 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Global Payments HPP with embedded tokenisation; reduces merchant PCI scope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Verify CSP headers and iframe sandboxing controls on HPP implementation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Tokenisation Vault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Secure storage of PANs replaced by network or acquirer tokens for recurring use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Proprietary vault; tokens returned in lieu of PANs; supports card-on-file scenarios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Validate token format entropy and vault HSM certification (FIPS 140-2 Level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Fraud &amp; Risk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Real-time transaction scoring and rules-based fraud decisioning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260+ detectors including device fingerprint, IP geolocation, velocity checks and 3DS2</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Obtain fraud rule visibility; ensure custom rule configuration is available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Reporting &amp; Analytics Portal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Merchant-facing dashboard for transaction reporting, reconciliation, and dispute management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Online merchant portal with role-based access to reporting and settlements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Confirm RBAC granularity, session timeout settings, and MFA enforcement on the portal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Developer &amp; Integration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SDKs and integration libraries for POS, web, and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SDKs available in major languages; pre-built shopping cart integrations for WooCommerce, Shopify etc.</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Review SDK dependency chain for known CVEs; confirm SBOM availability</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4.  Authentication and Authorization</w:t>
            </w:r>
          </w:p>
        </w:tc>
      </w:tr>
    </w:tbl>
    <w:p>
      <w:pPr>
        <w:spacing w:after="60" w:before="60"/>
      </w:pPr>
      <w:r>
        <w:t xml:space="preserve"/>
      </w:r>
    </w:p>
    <w:p>
      <w:pPr>
        <w:spacing w:after="60" w:before="60"/>
      </w:pPr>
      <w:r>
        <w:rPr>
          <w:rFonts w:ascii="Arial" w:cs="Arial" w:eastAsia="Arial" w:hAnsi="Arial"/>
          <w:sz w:val="20"/>
          <w:szCs w:val="20"/>
        </w:rPr>
        <w:t xml:space="preserve">Authentication and authorization controls govern how merchants, administrators, and integrated systems prove their identity and what actions they are permitted to perform within the Global Payments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API Key 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Shared-secret key-based authentication for API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API key required for all transaction API calls; transmitted over TLS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Enforce key rotation policy; keys should not have indefinite validity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HMAC Request Signing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Cryptographic signature over request payload to prevent tampering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HMAC-SHA256 payload signing supported on transaction and reporting APIs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Verify signing covers all mutable request fields; document algorithm version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OAuth 2.0 / Signed JWT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Token-based delegated authorisation for third-party and system integrations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OAuth with Signed JWT Assertion using asymmetric cryptography in production environments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token expiry, refresh token rotation, and revocation endpoint availability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Mutual TLS (mTLS)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Certificate-based mutual authentication for B2B and webhook connections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mTLS available for callback/webhook endpoints with approved certificate authorities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Confirm mTLS is enforced by default for all outbound webhook and settlement callbacks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Multi-Factor Authentication (MFA)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Step-up or mandatory second factor for portal and admin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MFA referenced as available on merchant portal; 3DS2 for cardholder authentication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MFA is mandatory (not optional) for all privileged and admin accounts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Role-Based Access Control (RBAC)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Granular permission model limiting user access to minimum required functions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Role-based access on merchant portal; specific role definitions not publicly documented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Request role matrix from Global Payments; validate alignment with least-privilege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3D Secure 2 (3DS2)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Strong Customer Authentication (SCA) for eCommerce 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Native 3DS2 integration; biometric and OTP support; PSD2 SCA compliant; EMVCo certified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Define organisational policy on 3DS2 friction-less vs. challenge flow thresholds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Session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Controls over portal and API session lifecycle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Session timeout and re-authentication for merchant portal sessions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Validate idle session timeout values; confirm session token entropy and secure cookie flags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5.  Network Security</w:t>
            </w:r>
          </w:p>
        </w:tc>
      </w:tr>
    </w:tbl>
    <w:p>
      <w:pPr>
        <w:spacing w:after="60" w:before="60"/>
      </w:pPr>
      <w:r>
        <w:t xml:space="preserve"/>
      </w:r>
    </w:p>
    <w:p>
      <w:pPr>
        <w:spacing w:after="60" w:before="60"/>
      </w:pPr>
      <w:r>
        <w:rPr>
          <w:rFonts w:ascii="Arial" w:cs="Arial" w:eastAsia="Arial" w:hAnsi="Arial"/>
          <w:sz w:val="20"/>
          <w:szCs w:val="20"/>
        </w:rPr>
        <w:t xml:space="preserve">Network security controls protect data in transit between the organisation's systems and the Global Payments platform, and govern network-level access restrictions within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TLS Encryption in Transit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Encryption of all data transmitted between client systems and Global Payments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TLS 1.2 and 1.3 enforced on all API endpoints; TLS 1.0/1.1 deprecated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Obtain current cipher suite list; confirm removal of weak ciphers (RC4, 3DES, export ciphers)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IP Allowlisting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Restriction of inbound/outbound API access to approved IP ranges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IP restriction configuration available in merchant portal</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Confirm default posture — verify IP allowlisting must be explicitly enabled and is not opt-in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DDoS Protection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Platform-level mitigation of volumetric and application-layer denial-of-service attacks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Global Payments operates global infrastructure with carrier-grade DDoS mitigation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evidence of DDoS SLA and scrubbing capacity; review RTO/RPO commitments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Network Segmentation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Isolation of Cardholder Data Environment (CDE) from other network zones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CDE segmented per PCI DSS Level 1 requirements; firewall controls documented in AoC</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Obtain firewall rule review rights during onboarding; validate egress filtering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VPN / Private Connectivity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Dedicated or encrypted private network connectivity for high-volume integrations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Private connectivity options available for enterprise/large-volume merchants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Assess whether VPN or MPLS private link is required for settlement and batch file transfers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Certificate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Lifecycle management of TLS/mTLS certificates used in integrations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Certificate requirements documented in developer portal; approved root CA list published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Implement internal certificate expiry monitoring; plan rotation before 90-day cert lifecycle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6.  Application Security</w:t>
            </w:r>
          </w:p>
        </w:tc>
      </w:tr>
    </w:tbl>
    <w:p>
      <w:pPr>
        <w:spacing w:after="60" w:before="60"/>
      </w:pPr>
      <w:r>
        <w:t xml:space="preserve"/>
      </w:r>
    </w:p>
    <w:p>
      <w:pPr>
        <w:spacing w:after="60" w:before="60"/>
      </w:pPr>
      <w:r>
        <w:rPr>
          <w:rFonts w:ascii="Arial" w:cs="Arial" w:eastAsia="Arial" w:hAnsi="Arial"/>
          <w:sz w:val="20"/>
          <w:szCs w:val="20"/>
        </w:rPr>
        <w:t xml:space="preserve">Application security controls address the secure design, development, and operation of the Global Payments payment applications and APIs, as well as the security posture of integrations built on top of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Hosted Payment Fields / iFrame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Isolation of card input fields from merchant application 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HPP and hosted fields available; card data captured directly within Global Payments scope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Verify Content Security Policy (CSP) and iframe sandbox attributes on HPP implementation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Input Validation &amp; Sanitisation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Server-side validation of all API inputs to prevent injection attacks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Validation enforced on transaction API; malformed requests rejected with structured errors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Conduct integration-level input fuzzing as part of UAT; review error message information leakage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API Versioning &amp; Deprecation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Controlled lifecycle of API versions to prevent use of vulnerable legacy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Versioned APIs; legacy endpoint deprecation communicated via developer portal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Subscribe to deprecation notices; plan migration timeline away from v1 endpoints if applicable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Vulnerability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Regular assessment of platform components for known vulnerabilities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Level 1 PCI DSS includes quarterly external vulnerability scans and annual penetration tests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Request most recent penetration test executive summary and remediation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Web Application Firewall (WAF)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Application-layer filtering of malicious HTTP/S traffic to payment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explicitly documented in public-facing materials for merchant-facing APIs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Formally confirm WAF presence and rule-set coverage protecting API and HPP endpoints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SDK / Supply Chain Security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Security of SDKs and third-party libraries distributed to merchants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SDKs available on GitHub and package managers; no SBOM or signing attestation confirmed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C00000"/>
                <w:sz w:val="16"/>
                <w:szCs w:val="16"/>
              </w:rPr>
              <w:t xml:space="preserve">Gap</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Request Software Bill of Materials (SBOM); verify SDK package signing before distribution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Security Testing (SAST/DAST)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Static and dynamic application security testing in the SDLC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PCI DSS Level 1 mandates secure development practices; internal SDLC details not disclosed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evidence of SAST/DAST integration in CI/CD pipeline as part of vendor due diligence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7.  Data Protection</w:t>
            </w:r>
          </w:p>
        </w:tc>
      </w:tr>
    </w:tbl>
    <w:p>
      <w:pPr>
        <w:spacing w:after="60" w:before="60"/>
      </w:pPr>
      <w:r>
        <w:t xml:space="preserve"/>
      </w:r>
    </w:p>
    <w:p>
      <w:pPr>
        <w:spacing w:after="60" w:before="60"/>
      </w:pPr>
      <w:r>
        <w:rPr>
          <w:rFonts w:ascii="Arial" w:cs="Arial" w:eastAsia="Arial" w:hAnsi="Arial"/>
          <w:sz w:val="20"/>
          <w:szCs w:val="20"/>
        </w:rPr>
        <w:t xml:space="preserve">Data protection controls ensure that cardholder data and other sensitive information is rendered unreadable to unauthorised parties whether at rest, in transit, or during processing.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Point-to-Point Encryption (P2PE)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Hardware-based encryption of card data from the point of interaction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Proprietary P2PE solution encrypts cardholder data at the device; unreadable to merchant systems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P2PE solution is PCI-validated (listed on PCI SSC P2PE solution list)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Tokenisation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Replacement of PAN with non-sensitive surrogate token for storage and processing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Tokenisation vault replaces PANs at capture; tokens stored off-site in Global Payments infrastructure</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Validate token format (non-reversible, non-PAN); confirm vault achieves FIPS 140-2 HSM standard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Encryption at 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Encryption of stored data within the Global Payments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Cardholder data at rest protected per PCI DSS Requirement 3; AES-256 standard expected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confirmation of encryption algorithm, key length, and key management practices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Encryption Key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Secure generation, storage, rotation, and destruction of cryptographic keys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Key management within scope of Level 1 PCI DSS AoC; HSM-based key storage</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Request evidence of dual-control and split-knowledge for key custodian procedures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Data Residency / Localisation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Controls over where cardholder and transaction data is stored geographically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Global Payments operates globally; data residency configuration not confirmed by default</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Formally confirm Canadian data residency for transaction and settlement data; review DPA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Data Masking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Masking of PAN and sensitive fields in logs, screens, and reports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PANs masked in merchant portal displays; last 4 digits returned in API responses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Verify PAN masking extends to all logging pipelines and support access tools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Data Retention &amp; Disposal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Defined retention periods and secure disposal of sensitive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Retention governed by PCI DSS Requirement 3; secure deletion practices in scope of AoC</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Obtain contractual data retention schedule; confirm right-to-erasure process for disputes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Privacy &amp; PIPEDA Compliance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Compliance with Canadian privacy legislation for personal data handling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Global Payments operates under GDPR and various privacy frameworks; PIPEDA alignment not confirmed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C00000"/>
                <w:sz w:val="16"/>
                <w:szCs w:val="16"/>
              </w:rPr>
              <w:t xml:space="preserve">Gap</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Require explicit PIPEDA compliance attestation and Data Processing Agreement (DPA) with Canadian clauses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8.  Identity &amp; Access Management (IAM)</w:t>
            </w:r>
          </w:p>
        </w:tc>
      </w:tr>
    </w:tbl>
    <w:p>
      <w:pPr>
        <w:spacing w:after="60" w:before="60"/>
      </w:pPr>
      <w:r>
        <w:t xml:space="preserve"/>
      </w:r>
    </w:p>
    <w:p>
      <w:pPr>
        <w:spacing w:after="60" w:before="60"/>
      </w:pPr>
      <w:r>
        <w:rPr>
          <w:rFonts w:ascii="Arial" w:cs="Arial" w:eastAsia="Arial" w:hAnsi="Arial"/>
          <w:sz w:val="20"/>
          <w:szCs w:val="20"/>
        </w:rPr>
        <w:t xml:space="preserve">Identity &amp; Access Management controls govern how human and non-human identities are provisioned, authenticated, authorised, and de-provisioned across the Global Payments platform and its integration interfaces.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Centralised Identity Provider (IdP)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Federation of merchant portal identity with enterprise IdP (e.g., Entra ID / Okta)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SAML/SSO integration availability not confirmed in standard merchant tier documentation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SAML 2.0 / OIDC SSO availability for portal federation with enterprise IdP</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Privileged Access Management (PAM)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Controls over privileged and administrative access within the platform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Internal PAM controls in scope of PCI DSS Level 1 AoC; merchant-facing privileged access not detailed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Define and document PAM controls for merchant-side administrators in the shared responsibility matrix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Least-Privilege Enforcement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Access grants limited to minimum permissions required for each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Role-based merchant portal access exists; specific role definitions not publicly documented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documented RBAC role matrix; map to organisational job functions before go-live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Service Account &amp; API Credential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Lifecycle management of API keys, service credentials, and non-human identities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API keys issued per merchant account; rotation mechanism available</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Implement automated API key rotation schedule; store credentials in secrets manager (e.g., HashiCorp Vault)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Joiner / Mover / Leaver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Timely provisioning and de-provisioning of access upon role changes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Merchant-controlled user management within portal; no automated lifecycle integration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C00000"/>
                <w:sz w:val="16"/>
                <w:szCs w:val="16"/>
              </w:rPr>
              <w:t xml:space="preserve">Gap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Establish formal JML process for portal users; integrate with HR system or IGA platform if available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Access Review / Recertification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Periodic review and recertification of access rights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Not documented as a platform-provided feature</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C00000"/>
                <w:sz w:val="16"/>
                <w:szCs w:val="16"/>
              </w:rPr>
              <w:t xml:space="preserve">Gap</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Implement quarterly access review process for all portal and API credential holders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9.  Integration Security</w:t>
            </w:r>
          </w:p>
        </w:tc>
      </w:tr>
    </w:tbl>
    <w:p>
      <w:pPr>
        <w:spacing w:after="60" w:before="60"/>
      </w:pPr>
      <w:r>
        <w:t xml:space="preserve"/>
      </w:r>
    </w:p>
    <w:p>
      <w:pPr>
        <w:spacing w:after="60" w:before="60"/>
      </w:pPr>
      <w:r>
        <w:rPr>
          <w:rFonts w:ascii="Arial" w:cs="Arial" w:eastAsia="Arial" w:hAnsi="Arial"/>
          <w:sz w:val="20"/>
          <w:szCs w:val="20"/>
        </w:rPr>
        <w:t xml:space="preserve">Integration security addresses the secure design and operation of interfaces between the organisation's internal systems and the Global Payments platform, including API integrations, webhooks, batch file transfers, and third-party connectors.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REST API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Secure design of API integrations including authentication, transport security, and error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RESTful APIs with HMAC signing, TLS, and OAuth; structured error responses without sensitive data leakage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Conduct API security review (OWASP API Top 10) on all custom integration code before go-live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Webhook / Callback Security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Authentication and integrity of inbound notifications from Global Payments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HMAC signature validation on webhook payloads; mTLS callback support available</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Enforce webhook signature validation on all inbound callback handlers; log and alert on signature failures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Batch File Transfer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Secure transmission of settlement, reconciliation, and reporting batch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Secure file transfer protocols available; specifics of SFTP/AS2 configuration not detailed in public docs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SFTP with key-based authentication or AS2 with certificates for all batch file exchanges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Idempotency Controls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Prevention of duplicate transaction processing on retry or network failure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Idempotency key support on Global Payments 2 API; business duplicate checks on current API</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Implement client-side idempotency key generation; validate duplicate check window is sufficient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Third-Party Plugin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Security of pre-built integrations (WooCommerce, Shopify,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Pre-built integrations available for 80%+ of major platforms; maintained by Global Payments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Validate plugin version currency before go-live; subscribe to security advisory feeds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Outbound Data Validation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Validation of all data received from Global Payments before processing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Structured API responses with defined schema; error codes documented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Implement response schema validation in integration middleware; reject unexpected fields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10.  Logging and Monitoring</w:t>
            </w:r>
          </w:p>
        </w:tc>
      </w:tr>
    </w:tbl>
    <w:p>
      <w:pPr>
        <w:spacing w:after="60" w:before="60"/>
      </w:pPr>
      <w:r>
        <w:t xml:space="preserve"/>
      </w:r>
    </w:p>
    <w:p>
      <w:pPr>
        <w:spacing w:after="60" w:before="60"/>
      </w:pPr>
      <w:r>
        <w:rPr>
          <w:rFonts w:ascii="Arial" w:cs="Arial" w:eastAsia="Arial" w:hAnsi="Arial"/>
          <w:sz w:val="20"/>
          <w:szCs w:val="20"/>
        </w:rPr>
        <w:t xml:space="preserve">Logging and monitoring controls provide the visibility required to detect, investigate, and respond to security incidents involving the Global Payments platform. PCI DSS Requirement 10 mandates comprehensive audit logging of all access to cardholder data environment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Transaction Audit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Immutable log of all payment transactions including authorisations, captures, refunds, and voids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Transaction history available via merchant portal and Reporting API with timestamps and outcome codes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log retention period meets PCI DSS Req 10 minimum (12 months, 3 months online)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API Access Logging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Logging of all API requests and responses for security analysis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API access logs maintained within Global Payments platform; merchant-accessible reporting via portal</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Confirm whether raw API access logs (with timestamps, source IPs) can be streamed to SIEM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SIEM Integration / Log 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Export of platform logs to the organisation's Security Information and Event Management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Log streaming capability not confirmed as standard feature; may require enterprise agreement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C00000"/>
                <w:sz w:val="16"/>
                <w:szCs w:val="16"/>
              </w:rPr>
              <w:t xml:space="preserve">Gap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Formally request log export / SIEM integration (Syslog / API) as part of contract negotiation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Fraud &amp; Anomaly Alerting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Real-time alerts on suspicious transaction patterns or anomalous API activity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Fraud Management module provides real-time scoring and alerts; 260+ detection rules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Configure custom alert thresholds; integrate fraud alerts into SOC incident workflow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Portal Audit Trail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Logging of all administrative actions within the merchant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Admin action logging within portal scope; specifics of log completeness not documented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audit trail completeness evidence covering user login, config changes, and data exports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Security Event Alerting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Proactive notification of platform security events (breaches, certificate expiry, etc.)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Breach reimbursement program and security event notifications referenced in EdgeShield</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Establish formal security notification SLA in contract; define escalation paths for critical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Log Integrity Protection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Tamper-evident protection of audit log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Within scope of PCI DSS Level 1 AoC (Req 10.3 — protect audit logs)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log integrity mechanism (hash chaining / WORM storage) for all exported logs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11.  Infrastructure Security</w:t>
            </w:r>
          </w:p>
        </w:tc>
      </w:tr>
    </w:tbl>
    <w:p>
      <w:pPr>
        <w:spacing w:after="60" w:before="60"/>
      </w:pPr>
      <w:r>
        <w:t xml:space="preserve"/>
      </w:r>
    </w:p>
    <w:p>
      <w:pPr>
        <w:spacing w:after="60" w:before="60"/>
      </w:pPr>
      <w:r>
        <w:rPr>
          <w:rFonts w:ascii="Arial" w:cs="Arial" w:eastAsia="Arial" w:hAnsi="Arial"/>
          <w:sz w:val="20"/>
          <w:szCs w:val="20"/>
        </w:rPr>
        <w:t xml:space="preserve">Infrastructure security covers the physical and logical controls protecting the compute, storage, and network components that underpin the Global Payments processing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700"/>
        <w:gridCol w:w="32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Capability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Global Payments 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32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 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Physical Security (Data Centre)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Physical access controls to data centres hosting payment processing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Global Payments operates Tier-3/4 data centres with physical access controls in scope of PCI DSS AoC</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AoC / SOC 2 Type II report section covering physical security controls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High Availability &amp; Resilience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Platform architecture ensuring continuity of payment processing under component failure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Geographically distributed infrastructure; 99.99%+ availability SLA referenced for core processing</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Obtain written SLA with financial penalties; test failover procedures before production cut-over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Disaster Recovery (DR)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Documented and tested capability to restore service following a major incident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capabilities implied by global infrastructure; specific RTO/RPO targets not publicly documented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Contractually define RTO (target: &lt;4 hours) and RPO (target: &lt;1 hour) for payment processing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Patch &amp; Vulnerability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Timely application of security patches to platform components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PCI DSS Level 1 requires critical patches within 1 month; vulnerability scanning quarterly</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Review most recent vulnerability scan results and patching SLA as part of due diligence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HSM (Hardware Security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Tamper-resistant hardware for cryptographic key operations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HSM-based key management referenced for tokenisation vault operations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Confirm HSM certification level (FIPS 140-2 Level 3 minimum for PCI PIN compliance)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Change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Controlled process for infrastructure and platform changes with security review gates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Change management within scope of PCI DSS and SOC 2 Type II audit programmes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Request advance notification process for major platform changes that may affect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Cloud Security Posture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Security configuration management for cloud-hosted platform 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Global Payments has cloud-native capabilities; cloud provider and posture management not disclosed</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ED7D31"/>
                <w:sz w:val="16"/>
                <w:szCs w:val="16"/>
              </w:rPr>
              <w:t xml:space="preserve">Partial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Request cloud security architecture overview; confirm CSP-level shared responsibility model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Third-Party / Subprocessor Management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Due diligence and oversight of subprocessors and sub-service providers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Global Payments responsible party for PCI DSS scope across sub-service providers</w:t>
            </w:r>
          </w:p>
        </w:tc>
        <w:tc>
          <w:tcPr>
            <w:tcW w:type="dxa" w:w="7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70AD47"/>
                <w:sz w:val="16"/>
                <w:szCs w:val="16"/>
              </w:rPr>
              <w:t xml:space="preserve">Present</w:t>
            </w:r>
          </w:p>
        </w:tc>
        <w:tc>
          <w:tcPr>
            <w:tcW w:type="dxa" w:w="32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8"/>
                <w:szCs w:val="18"/>
              </w:rPr>
              <w:t xml:space="preserve">Obtain sub-service provider list; confirm each is within scope of Global Payments AoC</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12.  Consolidated Gap Summary Scorecard</w:t>
            </w:r>
          </w:p>
        </w:tc>
      </w:tr>
    </w:tbl>
    <w:p>
      <w:pPr>
        <w:spacing w:after="60" w:before="60"/>
      </w:pPr>
      <w:r>
        <w:t xml:space="preserve"/>
      </w:r>
    </w:p>
    <w:p>
      <w:pPr>
        <w:spacing w:after="60" w:before="60"/>
      </w:pPr>
      <w:r>
        <w:rPr>
          <w:rFonts w:ascii="Arial" w:cs="Arial" w:eastAsia="Arial" w:hAnsi="Arial"/>
          <w:sz w:val="20"/>
          <w:szCs w:val="20"/>
        </w:rPr>
        <w:t xml:space="preserve">The following scorecard summarises the assessment findings across all nine security domains. Status counts refer to the number of assessed capability items per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Security Domain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Present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Partial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Gap</w:t>
            </w:r>
          </w:p>
        </w:tc>
        <w:tc>
          <w:tcPr>
            <w:tcW w:type="dxa" w:w="276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Deficiency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Core Platform Components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Confirm HSM certification; validate HPP CSP headers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Authentication &amp; Authorization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Enforce mandatory MFA; confirm RBAC role matrix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Network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Formally confirm WAF; clarify private connectivity options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Application Security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SDK SBOM absent — HIGH gap; confirm WAF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Data Protection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PIPEDA / DPA not confirmed — HIGH gap; data residency TBC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Identity &amp; Access Management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JML process gap and access review gap — HIGH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Integration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Enforce webhook signature validation; confirm batch SFTP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Logging &amp; Monitoring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SIEM log export not confirmed — CRITICAL gap for SOC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Infrastructure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8"/>
                <w:szCs w:val="18"/>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Obtain contractual RTO/RPO; confirm DR test cadence</w:t>
            </w:r>
          </w:p>
        </w:tc>
      </w:tr>
    </w:tbl>
    <w:p>
      <w:pPr>
        <w:spacing w:after="60" w:before="60"/>
      </w:pPr>
      <w:r>
        <w:t xml:space="preserve"/>
      </w:r>
    </w:p>
    <w:p>
      <w:pPr>
        <w:spacing w:after="80" w:before="240"/>
      </w:pPr>
      <w:r>
        <w:rPr>
          <w:rFonts w:ascii="Arial" w:cs="Arial" w:eastAsia="Arial" w:hAnsi="Arial"/>
          <w:b/>
          <w:bCs/>
          <w:color w:val="2E75B6"/>
          <w:sz w:val="22"/>
          <w:szCs w:val="22"/>
        </w:rPr>
        <w:t xml:space="preserve">Overall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C00000"/>
                <w:sz w:val="40"/>
                <w:szCs w:val="40"/>
              </w:rPr>
              <w:t xml:space="preserve">1</w:t>
            </w:r>
          </w:p>
          <w:p>
            <w:pPr>
              <w:jc w:val="center"/>
            </w:pPr>
            <w:r>
              <w:rPr>
                <w:rFonts w:ascii="Arial" w:cs="Arial" w:eastAsia="Arial" w:hAnsi="Arial"/>
                <w:sz w:val="18"/>
                <w:szCs w:val="18"/>
              </w:rPr>
              <w:t xml:space="preserve">Critical Gaps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ED7D31"/>
                <w:sz w:val="40"/>
                <w:szCs w:val="40"/>
              </w:rPr>
              <w:t xml:space="preserve">2</w:t>
            </w:r>
          </w:p>
          <w:p>
            <w:pPr>
              <w:jc w:val="center"/>
            </w:pPr>
            <w:r>
              <w:rPr>
                <w:rFonts w:ascii="Arial" w:cs="Arial" w:eastAsia="Arial" w:hAnsi="Arial"/>
                <w:sz w:val="18"/>
                <w:szCs w:val="18"/>
              </w:rPr>
              <w:t xml:space="preserve">High Gaps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ED9C28"/>
                <w:sz w:val="40"/>
                <w:szCs w:val="40"/>
              </w:rPr>
              <w:t xml:space="preserve">4</w:t>
            </w:r>
          </w:p>
          <w:p>
            <w:pPr>
              <w:jc w:val="center"/>
            </w:pPr>
            <w:r>
              <w:rPr>
                <w:rFonts w:ascii="Arial" w:cs="Arial" w:eastAsia="Arial" w:hAnsi="Arial"/>
                <w:sz w:val="18"/>
                <w:szCs w:val="18"/>
              </w:rPr>
              <w:t xml:space="preserve">Medium Gaps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70AD47"/>
                <w:sz w:val="40"/>
                <w:szCs w:val="40"/>
              </w:rPr>
              <w:t xml:space="preserve">0</w:t>
            </w:r>
          </w:p>
          <w:p>
            <w:pPr>
              <w:jc w:val="center"/>
            </w:pPr>
            <w:r>
              <w:rPr>
                <w:rFonts w:ascii="Arial" w:cs="Arial" w:eastAsia="Arial" w:hAnsi="Arial"/>
                <w:sz w:val="18"/>
                <w:szCs w:val="18"/>
              </w:rPr>
              <w:t xml:space="preserve">Low Gaps</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Overall: MEDIUM-HIGH risk — proceed with remediation plan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13.  Recommended Remediation Roadmap</w:t>
            </w:r>
          </w:p>
        </w:tc>
      </w:tr>
    </w:tbl>
    <w:p>
      <w:pPr>
        <w:spacing w:after="60" w:before="60"/>
      </w:pPr>
      <w:r>
        <w:t xml:space="preserve"/>
      </w:r>
    </w:p>
    <w:p>
      <w:pPr>
        <w:spacing w:after="60" w:before="60"/>
      </w:pPr>
      <w:r>
        <w:rPr>
          <w:rFonts w:ascii="Arial" w:cs="Arial" w:eastAsia="Arial" w:hAnsi="Arial"/>
          <w:sz w:val="20"/>
          <w:szCs w:val="20"/>
        </w:rPr>
        <w:t xml:space="preserve">The following actions are recommended to close identified gaps prior to or immediately following the migration cutover.</w:t>
      </w:r>
    </w:p>
    <w:p>
      <w:pPr>
        <w:spacing w:after="60" w:before="60"/>
      </w:pPr>
      <w:r>
        <w:t xml:space="preserve"/>
      </w:r>
    </w:p>
    <w:p>
      <w:pPr>
        <w:spacing w:after="80" w:before="240"/>
      </w:pPr>
      <w:r>
        <w:rPr>
          <w:rFonts w:ascii="Arial" w:cs="Arial" w:eastAsia="Arial" w:hAnsi="Arial"/>
          <w:b/>
          <w:bCs/>
          <w:color w:val="2E75B6"/>
          <w:sz w:val="22"/>
          <w:szCs w:val="22"/>
        </w:rPr>
        <w:t xml:space="preserve">Pre-Migration (Before Go-Live)</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CRITICAL — SIEM Log Export: Contractually require log streaming to organisational SIEM. Validate API or syslog export during integration testing.</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HIGH — PIPEDA / DPA: Execute a Data Processing Agreement with Canadian data residency clauses before any transaction data flows to Global Payments.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HIGH — SDK SBOM &amp; Signing: Request Software Bill of Materials for all SDKs. Verify package signing and establish a vulnerability monitoring process for dependencies.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HIGH — Mandatory MFA: Confirm and enforce MFA as mandatory (not optional) for all merchant portal accounts, particularly administrative roles.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HIGH — IAM JML Process: Define Joiner/Mover/Leaver procedures for portal user accounts. Establish ownership with HR and IT operations teams.</w:t>
      </w:r>
    </w:p>
    <w:p>
      <w:pPr>
        <w:spacing w:after="60" w:before="60"/>
      </w:pPr>
      <w:r>
        <w:t xml:space="preserve"/>
      </w:r>
    </w:p>
    <w:p>
      <w:pPr>
        <w:spacing w:after="80" w:before="240"/>
      </w:pPr>
      <w:r>
        <w:rPr>
          <w:rFonts w:ascii="Arial" w:cs="Arial" w:eastAsia="Arial" w:hAnsi="Arial"/>
          <w:b/>
          <w:bCs/>
          <w:color w:val="2E75B6"/>
          <w:sz w:val="22"/>
          <w:szCs w:val="22"/>
        </w:rPr>
        <w:t xml:space="preserve">At Migration / First 30 Days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Obtain and review the Global Payments Level 1 PCI DSS Attestation of Compliance (AoC) and most recent penetration test executive summary.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Confirm P2PE solution is listed on the PCI SSC validated P2PE solution list.</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Validate TLS configuration: disable TLS 1.0/1.1; confirm strong cipher suites only.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Enforce webhook signature validation on all callback handlers in the integration layer.</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Configure fraud alert thresholds and integrate notifications into the SOC incident management workflow.</w:t>
      </w:r>
    </w:p>
    <w:p>
      <w:pPr>
        <w:spacing w:after="60" w:before="60"/>
      </w:pPr>
      <w:r>
        <w:t xml:space="preserve"/>
      </w:r>
    </w:p>
    <w:p>
      <w:pPr>
        <w:spacing w:after="80" w:before="240"/>
      </w:pPr>
      <w:r>
        <w:rPr>
          <w:rFonts w:ascii="Arial" w:cs="Arial" w:eastAsia="Arial" w:hAnsi="Arial"/>
          <w:b/>
          <w:bCs/>
          <w:color w:val="2E75B6"/>
          <w:sz w:val="22"/>
          <w:szCs w:val="22"/>
        </w:rPr>
        <w:t xml:space="preserve">Post-Migration (30–90 Days)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Conduct RBAC access review and recertification of all portal users against least-privilege principles.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Formally document shared responsibility matrix between the organisation and Global Payments for all PCI DSS controls.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Negotiate and document contractual RTO/RPO for payment processing DR; request DR test evidence.</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 automated API key rotation using an enterprise secrets manager.</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Establish quarterly access review process and annual vendor security review cadence.</w:t>
      </w:r>
    </w:p>
    <w:p>
      <w:pPr>
        <w:spacing w:after="60" w:before="60"/>
      </w:pPr>
      <w:r>
        <w:t xml:space="preserve"/>
      </w:r>
    </w:p>
    <w:p>
      <w:pPr>
        <w:spacing w:after="80" w:before="240"/>
      </w:pPr>
      <w:r>
        <w:rPr>
          <w:rFonts w:ascii="Arial" w:cs="Arial" w:eastAsia="Arial" w:hAnsi="Arial"/>
          <w:b/>
          <w:bCs/>
          <w:color w:val="2E75B6"/>
          <w:sz w:val="22"/>
          <w:szCs w:val="22"/>
        </w:rPr>
        <w:t xml:space="preserve">Ongoing</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Subscribe to Global Payments security advisory and platform change notification channels.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Include Global Payments in the annual third-party/vendor risk assessment programme.</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Monitor PCI DSS AoC renewal annually and review scope changes.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Appendix A — Assessment Status Legend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70AD47"/>
                <w:sz w:val="18"/>
                <w:szCs w:val="18"/>
              </w:rPr>
              <w:t xml:space="preserve">Present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Capability confirmed in Global Payments platform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ED7D31"/>
                <w:sz w:val="18"/>
                <w:szCs w:val="18"/>
              </w:rPr>
              <w:t xml:space="preserve">Partial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Capability exists but may require configuration or supplementation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Gap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Capability not natively available; remediation required</w:t>
            </w:r>
          </w:p>
        </w:tc>
      </w:tr>
    </w:tbl>
    <w:p>
      <w:pPr>
        <w:spacing w:after="60" w:before="60"/>
      </w:pPr>
      <w:r>
        <w:t xml:space="preserve"/>
      </w:r>
    </w:p>
    <w:p>
      <w:pPr>
        <w:spacing w:after="80" w:before="240"/>
      </w:pPr>
      <w:r>
        <w:rPr>
          <w:rFonts w:ascii="Arial" w:cs="Arial" w:eastAsia="Arial" w:hAnsi="Arial"/>
          <w:b/>
          <w:bCs/>
          <w:color w:val="2E75B6"/>
          <w:sz w:val="22"/>
          <w:szCs w:val="22"/>
        </w:rPr>
        <w:t xml:space="preserve">Risk Rating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Immediate compliance or security breach risk; migration should be blocked until resolved</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w:t>
            </w:r>
          </w:p>
        </w:tc>
        <w:tc>
          <w:tcPr>
            <w:tcW w:type="dxa" w:w="7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Significant risk that must be remediated before or immediately after go-live</w:t>
            </w:r>
          </w:p>
        </w:tc>
      </w:tr>
      <w:tr>
        <w:tc>
          <w:tcPr>
            <w:tcW w:type="dxa" w:w="1400"/>
            <w:tcBorders>
              <w:top w:val="single" w:color="CCCCCC" w:sz="1"/>
              <w:left w:val="single" w:color="CCCCCC" w:sz="1"/>
              <w:bottom w:val="single" w:color="CCCCCC" w:sz="1"/>
              <w:right w:val="single" w:color="CCCCCC" w:sz="1"/>
            </w:tcBorders>
            <w:shd w:fill="ED9C2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Medium</w:t>
            </w:r>
          </w:p>
        </w:tc>
        <w:tc>
          <w:tcPr>
            <w:tcW w:type="dxa" w:w="7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Risk that should be addressed within 30–90 days post-migration</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w:t>
            </w:r>
          </w:p>
        </w:tc>
        <w:tc>
          <w:tcPr>
            <w:tcW w:type="dxa" w:w="7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Minor risk; address within 90 days as part of continuous improvement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20"/>
              <w:left w:type="dxa" w:w="160"/>
              <w:bottom w:type="dxa" w:w="120"/>
              <w:right w:type="dxa" w:w="160"/>
            </w:tcMar>
          </w:tcPr>
          <w:p>
            <w:r>
              <w:rPr>
                <w:rFonts w:ascii="Arial" w:cs="Arial" w:eastAsia="Arial" w:hAnsi="Arial"/>
                <w:b/>
                <w:bCs/>
                <w:color w:val="FFFFFF"/>
                <w:sz w:val="28"/>
                <w:szCs w:val="28"/>
              </w:rPr>
              <w:t xml:space="preserve">Appendix B — References and Standards</w:t>
            </w:r>
          </w:p>
        </w:tc>
      </w:tr>
    </w:tbl>
    <w:p>
      <w:pPr>
        <w:spacing w:after="60" w:before="60"/>
      </w:pPr>
      <w:r>
        <w:t xml:space="preserve"/>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PCI DSS v4.0 — Payment Card Industry Data Security Standard (PCI Security Standards Council)</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PCI P2PE Standard v3.0 — Point-to-Point Encryption Solution Requirements (PCI SSC)</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ISO/IEC 27001:2022 — Information Security Management Systems</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NIST Cybersecurity Framework 2.0 (CSF) — National Institute of Standards and Technology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CIS Critical Security Controls v8 — Center for Internet Security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OWASP API Security Top 10 (2023 Edition)</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PIPEDA — Personal Information Protection and Electronic Documents Act (Government of Canada)</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Global Payments Developer Portal — developer.globalpay.com</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Global Payments Integrated Security Documentation — globalpaymentsintegrated.com</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Global Payments 3D Secure &amp; Fraud Management — globalpayments.com/payments/online/security</w:t>
      </w:r>
    </w:p>
    <w:p>
      <w:pPr>
        <w:spacing w:after="40" w:before="40"/>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NIST SP 800-57 — Recommendation for Key Management</w:t>
      </w:r>
    </w:p>
    <w:p>
      <w:pPr>
        <w:spacing w:after="60" w:before="60"/>
      </w:pPr>
      <w:r>
        <w:t xml:space="preserve"/>
      </w:r>
    </w:p>
    <w:sectPr>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CONFIDENTIAL — Platform Security Capability Assessment — Global Payments Migration</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2026-05-21T13:54:09.885Z</dcterms:created>
  <dcterms:modified xsi:type="dcterms:W3CDTF">2026-05-21T13:54:09.886Z</dcterms:modified>
</cp:coreProperties>
</file>

<file path=docProps/custom.xml><?xml version="1.0" encoding="utf-8"?>
<Properties xmlns="http://schemas.openxmlformats.org/officeDocument/2006/custom-properties" xmlns:vt="http://schemas.openxmlformats.org/officeDocument/2006/docPropsVTypes"/>
</file>